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penalty for noncompliance with certain audit requirements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AUDIT AND FILING OF FINANCIAL STATEMENT; PENALTY FOR NONCOMPLIANCE.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"No-new-revenue tax rate" means the no-new-revenue tax rate calculated under Chapter 26,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year" has the meaning assigned by Section 1.04,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submit a complaint to the attorney general of a suspected violation of Section 103.001 or 103.003.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the municipality may not adopt an ad valorem tax rate that exceeds the municipality's no-new-revenue tax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tax year that begins on or after the date of the attorney general's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adoption of an ad valorem tax rate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1851 passed the Senate on April 16,</w:t>
      </w:r>
      <w:r xml:space="preserve">
        <w:t> </w:t>
      </w:r>
      <w:r>
        <w:t xml:space="preserve">2025, by the following vote:</w:t>
      </w:r>
      <w:r xml:space="preserve">
        <w:t> </w:t>
      </w:r>
      <w:r xml:space="preserve">
        <w:t> </w:t>
      </w:r>
      <w:r>
        <w:t xml:space="preserve">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1851 passed the House on May</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89, Nays</w:t>
      </w:r>
      <w:r xml:space="preserve">
        <w:t> </w:t>
      </w:r>
      <w:r>
        <w:t xml:space="preserve">31,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