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1851</w:t>
      </w:r>
    </w:p>
    <w:p w:rsidR="003F3435" w:rsidRDefault="0032493E">
      <w:pPr>
        <w:ind w:firstLine="720"/>
        <w:jc w:val="both"/>
      </w:pPr>
      <w:r>
        <w:t xml:space="preserve">(Harris,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penalty for noncompliance with certain audit requirements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103, Local Government Code, is amended by adding Section 103.005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103.005.</w:t>
      </w:r>
      <w:r>
        <w:rPr>
          <w:u w:val="single"/>
        </w:rPr>
        <w:t xml:space="preserve"> </w:t>
      </w:r>
      <w:r>
        <w:rPr>
          <w:u w:val="single"/>
        </w:rPr>
        <w:t xml:space="preserve"> </w:t>
      </w:r>
      <w:r>
        <w:rPr>
          <w:u w:val="single"/>
        </w:rPr>
        <w:t xml:space="preserve">ANNUAL AUDIT AND FILING OF FINANCIAL STATEMENT; PENALTY FOR NONCOMPLIANCE.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"No-new-revenue tax rate" means the no-new-revenue tax rate calculated under Chapter 26,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year" has the meaning assigned by Section 1.04,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submit a complaint to the attorney general of a suspected violation of Section 103.001 or 103.003.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 the municipality may not adopt an ad valorem tax rate that exceeds the municipality's no-new-revenue tax rate: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tax year that begins on or after the date of the attorney general's determination;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subsequent tax year that begins before the date the municipality has had an annual audit completed and financial statement prepared or filed the financial statement and auditor's opinion on the financial statement with the municipal clerk,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adoption of an ad valorem tax rate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