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1940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one or more beneficiaries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one or more beneficiaries effective on the owner's death by designating each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beneficiaries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beneficiaries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a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any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any designated beneficiary survives the owner making the designation by 120 hours, the interest in the home is transferred to each surviving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each designated beneficiary fails to survive the owner making the designation by 120 hours, the share of each designated beneficiary lapses, notwithstanding Section 111.052, and is subject to and passes in accordance with Subchapter D, Chapter 255, as if each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a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one or more designated beneficiaries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one or more beneficiaries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one or more designated beneficiaries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each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the beneficiary or beneficiaries, as applicable, designated under this section for the home if the sole beneficiary submits or all beneficiaries jointly submit,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365th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beneficiary designation made under this section for a manufactured home is void if an application and proof described by Subsection (c) are not submitted to the department before the 366th day after the date of the owner's death, or if the home is owned by joint owners, the last surviving owner's death.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application for issuance of a statement of ownership designating a beneficiary in accordance with this section that is mailed to the department must be mailed by certified or registered mail, return receipt requested. </w:t>
      </w:r>
      <w:r>
        <w:rPr>
          <w:u w:val="single"/>
        </w:rPr>
        <w:t xml:space="preserve"> </w:t>
      </w:r>
      <w:r>
        <w:rPr>
          <w:u w:val="single"/>
        </w:rPr>
        <w:t xml:space="preserve">The application is considered submitted to the department on the date the certified or registered mail is postmarked.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1940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1940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138,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