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1964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and use of artificial intelligence systems and the management of data by governmental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2054.003, Government Code, is amended by adding Subdivisions (1-a), (2-b), (6-a), and (6-b)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"Artificial intelligence system" means a machine-based system that, for explicit or implicit objectives, infers, from the input it receives, how to generate outputs such as predictions, content, recommendations, or decisions that can influence physical or virtual environment. Different artificial intelligence systems vary in their levels of autonomy and adaptiveness after deployment.</w:t>
      </w:r>
    </w:p>
    <w:p w:rsidR="003F3435" w:rsidRDefault="0032493E">
      <w:pPr>
        <w:spacing w:line="480" w:lineRule="auto"/>
        <w:ind w:firstLine="1440"/>
        <w:ind w:start="720"/>
        <w:jc w:val="both"/>
      </w:pPr>
      <w:r>
        <w:rPr>
          <w:u w:val="single"/>
        </w:rPr>
        <w:t xml:space="preserve">(2-b) "Controlling factor" means a factor that is:</w:t>
      </w:r>
      <w:r>
        <w:t xml:space="preserve"> </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principal basis for making any decision that has a material legal or similarly significant effect on the provision, denial, or conditions of a person's access to a government service;</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capable of altering the outcome of a any decision that has a material legal or similarly significant effect on the provision, denial, or conditions of a person's access to a government service;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generated by an artificial intelligence system.</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"Heightened scrutiny artificial intelligence system" means an artificial intelligence system that is specifically intended to autonomously make, or be a substantial controlling factor in making, any decision that has a material legal or similarly significant effect on the provision, denial, or conditions of a person's access to a government service. The term does not include an artificial intelligence system intended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perform any narrow procedural task;</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improve the result of a previously completed human activity;</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perform a preparatory task to an assessment relevant to a any decision that has a material legal or similarly significant effect  on the provision, denial, or conditions of a person's access to a government service;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detect decision-making patterns or deviations from previous decision-making patterns</w:t>
      </w:r>
    </w:p>
    <w:p w:rsidR="003F3435" w:rsidRDefault="0032493E">
      <w:pPr>
        <w:spacing w:line="480" w:lineRule="auto"/>
        <w:ind w:firstLine="720"/>
        <w:jc w:val="both"/>
      </w:pPr>
      <w:r>
        <w:rPr>
          <w:u w:val="single"/>
        </w:rPr>
        <w:t xml:space="preserve">(6-b) "Principal basis" means the use of an output of a heightened scrutiny  artificial intelligence system to make a decision without: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review, oversight, involvement, or intervention;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meaningful consideration by a human.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w:t>
      </w:r>
      <w:r>
        <w:rPr>
          <w:u w:val="single"/>
        </w:rPr>
        <w:t xml:space="preserve">artificial intelligence systems, including heightened scrutiny  artificial intelligence systems,</w:t>
      </w:r>
      <w:r>
        <w:t xml:space="preserve">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2054.0965, Government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an inventory and identification of the artificial intelligence systems and heightened scrutiny  artificial intelligence systems deployed by the agency, including an evaluation of the purpose of and risk mitigation measures for each system and an analysis of how each system supports the agency's strategic plan under Subchapter E; and</w:t>
      </w:r>
    </w:p>
    <w:p w:rsidR="003F3435" w:rsidRDefault="0032493E">
      <w:pPr>
        <w:spacing w:line="480" w:lineRule="auto"/>
        <w:ind w:firstLine="1440"/>
        <w:jc w:val="both"/>
      </w:pPr>
      <w:r>
        <w:rPr>
          <w:u w:val="single"/>
        </w:rPr>
        <w:t xml:space="preserve">(7)</w:t>
      </w:r>
      <w:r xml:space="preserve">
        <w:t> </w:t>
      </w:r>
      <w:r xml:space="preserve">
        <w:t> </w:t>
      </w:r>
      <w:r>
        <w:t xml:space="preserve">confirmation by the agency of compliance with state statutes, rules, and standards relating to information resources </w:t>
      </w:r>
      <w:r>
        <w:rPr>
          <w:u w:val="single"/>
        </w:rPr>
        <w:t xml:space="preserve">and artificial intelligence systems, including the artificial intelligence system code of ethics developed under Section 2054.702, and minimum standards developed under Section 2054.703</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Local governments shall complete a review of the deployment and use of a heightened scrutiny  artificial intelligence system and provide the review to the department, in a manner described by the department.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2054.137, Government Code, is amended by adding Subsection (a-1) and amending Subsection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state agency with 150 or fewer full-time employees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a full-time employee of the agency to serve as a data management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an agreement with another state agency or agencies to jointly employ a data management officer if approved by the department.</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w:t>
      </w:r>
      <w:r>
        <w:rPr>
          <w:u w:val="single"/>
        </w:rPr>
        <w:t xml:space="preserve">annually</w:t>
      </w:r>
      <w:r>
        <w:t xml:space="preserve"> post on the Texas Open Data Portal established by the department under Section 2054.070 at least three high-value data sets as defined by Section 2054.1265.  The high-value data sets may not include information that is confidential or protected from disclosure under state or federal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DEFINITION.  In this subchapter, "unlawful harm" means any condition in which the use of an artificial intelligence system results in any decision that has a material legal or similarly significant effect on an individual who is a member of a state or federally protected class's denial, or conditions of a government service in violation of law.  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ARTIFICIAL INTELLIGENCE SYSTEM CODE OF ETHICS.  (a)  The department by rule shall establish an artificial intelligence system code of ethics for use by state agencies and local governments that procure, develop, deploy, or use a heightened scrutiny artificial intelligence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the artificial intelligence system code of ethics must include the following principles for state agencies to guide the adoption of heightened scrutiny  artificial intelligence systems and that align with the National Institute of Standards and Technology's Artificial Intelligence Risk Management Framework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Human oversight and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Fairness and Accuracy;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Transparency;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Consumer disclosures;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Accountability and liability;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Continuous evaluation and improvement;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Public redress.</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MINIMUM STANDARDS FOR HEIGHTENED SCRUTINY  ARTIFICIAL INTELLIGENCE SYSTEMS.  (a)  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deploying the system;</w:t>
      </w:r>
    </w:p>
    <w:p w:rsidR="003F3435" w:rsidRDefault="0032493E">
      <w:pPr>
        <w:spacing w:line="480" w:lineRule="auto"/>
        <w:jc w:val="both"/>
      </w:pPr>
      <w:r>
        <w:rPr>
          <w:u w:val="single"/>
        </w:rPr>
        <w:t xml:space="preserve">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at the time any material change is made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system;</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or local data used by the system;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intended use of the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resources to local governments to advise on the management of heightened scrutiny  artificial intelligence system procurement and deployment, data protection measures, and employee training;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guidelines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risk management frameworks, acceptable use policies, and training employees;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mitigating the risk of unlawful harm by contractually requiring third party vendors to implement risk management system frameworks when deploying heightened scrutiny  artificial intelligence systems on behalf of state agencies or local governments.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both adopt the code of ethics developed under Section 2054.702 and the standards developed under Subsection (b).</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EDUCATIONAL OUTREACH PROGRAM.  (a)  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training materials for state and local government employees and the general public.  The training materials must be made available on the department's public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money appropriated to the department to produce materials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produce those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PUBLIC SECTOR ARTIFICIAL INTELLIGENCE SYSTEMS ADVISORY BOARD.  (a)  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shall obtain and disseminate information on artificial intelligence systems, including use cases, policies, and guidelines, facilitate shared resources between state agencies, and consult with the department on artificial intelligence systems issues.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administrative support for the advisory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board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six members representing state agencies, including one member representing an agency with fewer than 150 employees, appointed by the governor;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public members, appointed by the governor or the governor's designee, with technology expertise.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Advisory board members serve two-year terms. Advisory board members may be reappointed.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Advisory board members are not entitled to compensation or reimbursement of expenses for service on the advisory board.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advisory board shall direct state agencies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opportunities to implement AI solutions that reduce administrative burdens;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 the elimination of regulations that unnecessarily restrict AI innovation;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to streamline procurement processes to enable AI adoption.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2054.706.</w:t>
      </w:r>
      <w:r>
        <w:rPr>
          <w:u w:val="single"/>
        </w:rPr>
        <w:t xml:space="preserve"> </w:t>
      </w:r>
      <w:r>
        <w:rPr>
          <w:u w:val="single"/>
        </w:rPr>
        <w:t xml:space="preserve"> </w:t>
      </w:r>
      <w:r>
        <w:rPr>
          <w:u w:val="single"/>
        </w:rPr>
        <w:t xml:space="preserve">ARTIFICIAL INTELLIGENCE SYSTEM SANDBOX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entity" means an eligible customer under Section 2054.0525.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"Vendor" means a person registered with the department as a contractor to provide commodity items under Section 2157.068.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create an application process for vendors to apply to participate in the program.  The application process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risk-assessment of the system that addresses potential impacts on the public;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discovered during the system's testing phase.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eligible entities and vendors shall submit quarterly reports to the department that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performance measures for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risk mitigation strategies implemented during system testing;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on program effectiveness and efficiency;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information the department requests.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eligible entities and vendors participating in the program and the program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recommendations for legislative or other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Section 2054.383, the department may operate the program as a statewide technology center under Subchapter 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2054.707.</w:t>
      </w:r>
      <w:r>
        <w:rPr>
          <w:u w:val="single"/>
        </w:rPr>
        <w:t xml:space="preserve"> </w:t>
      </w:r>
      <w:r>
        <w:rPr>
          <w:u w:val="single"/>
        </w:rPr>
        <w:t xml:space="preserve"> </w:t>
      </w:r>
      <w:r>
        <w:rPr>
          <w:u w:val="single"/>
        </w:rPr>
        <w:t xml:space="preserve">DISCLOSURE REQUIREMENTS.  (a)  A state agency that procures, develops, deploys, or uses an artificial intelligence system shall provide clear disclosure of the system to the public as provided by the artificial intelligence system code of ethics established under Section 2054.702.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vendor contracting with a state agency to deploy or operate an artificial intelligence system must also provide the disclosure required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2054.708.</w:t>
      </w:r>
      <w:r>
        <w:rPr>
          <w:u w:val="single"/>
        </w:rPr>
        <w:t xml:space="preserve"> </w:t>
      </w:r>
      <w:r>
        <w:rPr>
          <w:u w:val="single"/>
        </w:rPr>
        <w:t xml:space="preserve"> </w:t>
      </w:r>
      <w:r>
        <w:rPr>
          <w:u w:val="single"/>
        </w:rPr>
        <w:t xml:space="preserve">IMPACT ASSESSMENTS.  (a)  A state agency that deploys or uses an artificial intelligence system or a vendor that contracts with a state agency for the deployment or use of a system shall conduct a semiannual system assessment that outlines: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risks of unlawful harm;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system limitations;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governance practices;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agency or vendor shall submit make available a copy of the assessment to the department upon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impact assessments created under this section are confidential and not subject to disclosure under Chapter 552. The state agency or department may redact or withhold the information as confidential under Chapter 552 without requesting a decision from the attorney general under Subchapter G,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take all necessary steps to ensure the confidentiality of Submitted Information, including but not limited to, restricting access to submitted information to authorized personnel only and implementing physical, electronic, and procedural safeguards to protect submitted information.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2054.710.</w:t>
      </w:r>
      <w:r>
        <w:rPr>
          <w:u w:val="single"/>
        </w:rPr>
        <w:t xml:space="preserve"> </w:t>
      </w:r>
      <w:r>
        <w:rPr>
          <w:u w:val="single"/>
        </w:rPr>
        <w:t xml:space="preserve"> </w:t>
      </w:r>
      <w:r>
        <w:rPr>
          <w:u w:val="single"/>
        </w:rPr>
        <w:t xml:space="preserve">ENFORCEMENT.  (a)  If a state agency or vendor is made aware that a violation of this subchapter has occurred, the agency or vendor shall report the violation to the department, if applicable, and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 report submitted under this section or a complaint reported through the webpage established under Section 2054.711;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whether to bring an action to enjoin a violation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that a vendor violated this subchapter, the attorney general shall provide the vendor with a written notice of the violation. The vendor shall have 30 days from the date of the notice to cure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vendor fails to cure the violation within the 30-day period specific in subsection (c), the state agency may void the contract without further obligation to the vendor. The state agency shall provide the vendor with a 30-day notice of its intent to void the contract, during which time the vendor may address any remaining issues to the satisfaction of the state agency.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vendor does not satisfactorily address the issues within the 30-day notice period specified in subsection (d), the state agency may void the contract without further obligation to the vendor.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department determines that a vendor has had more than one contract voided under Subsection (c), the department shall refer the matter to the comptroller.  Using procedures prescribed by Section 2155.077, the comptroller may bar the vendor from participating in a state agency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2054.711.</w:t>
      </w:r>
      <w:r>
        <w:rPr>
          <w:u w:val="single"/>
        </w:rPr>
        <w:t xml:space="preserve"> </w:t>
      </w:r>
      <w:r>
        <w:rPr>
          <w:u w:val="single"/>
        </w:rPr>
        <w:t xml:space="preserve"> </w:t>
      </w:r>
      <w:r>
        <w:rPr>
          <w:u w:val="single"/>
        </w:rPr>
        <w:t xml:space="preserve">ARTIFICIAL INTELLIGENCE SYSTEM COMPLAINT WEBPAGE.  (a)  The attorney general shall, in collaboration with the department, establish a webpage on the attorney general's Internet website that allows a person to report a complaint relating to artificial intelligence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an artificial intelligence system that allegedly results in unlawful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submitted on the webpage created under Subsection (a) must be distributed to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submits a complaint on the webpage created under Subsection (a) may request from the department an explanation as provided by Section 2054.702(b)(1)(D).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post on the attorney general's Internet website information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educates persons regarding the risks and benefits of artificial intelligence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explains a person's rights in relation to artificial intelligence systems.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2054.712.</w:t>
      </w:r>
      <w:r>
        <w:rPr>
          <w:u w:val="single"/>
        </w:rPr>
        <w:t xml:space="preserve"> </w:t>
      </w:r>
      <w:r>
        <w:rPr>
          <w:u w:val="single"/>
        </w:rPr>
        <w:t xml:space="preserve"> </w:t>
      </w:r>
      <w:r>
        <w:rPr>
          <w:u w:val="single"/>
        </w:rPr>
        <w:t xml:space="preserve">STANDARDIZED NOTICE.  (a) Each state agency and local government that deploys or uses an artificial intelligence system that the public directly accesses or that is a controlling factor in a any decision that has a material legal or similarly significant effect  on the provision, denial, or conditions of a person's access to a government service shall include a standardized notice on all related applications, Internet websites, and public computer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 form that agencies must use for the notice required under Subsection (a).  The form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about the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about the data  sources the system uses;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measures taken to maintain compliance with information privacy laws and ethics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2054.713.</w:t>
      </w:r>
      <w:r>
        <w:rPr>
          <w:u w:val="single"/>
        </w:rPr>
        <w:t xml:space="preserve"> </w:t>
      </w:r>
      <w:r>
        <w:rPr>
          <w:u w:val="single"/>
        </w:rPr>
        <w:t xml:space="preserve"> </w:t>
      </w:r>
      <w:r>
        <w:rPr>
          <w:u w:val="single"/>
        </w:rPr>
        <w:t xml:space="preserve">RULES.  The department shall adopt rules to implement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As soon as practicable after the effective date of this Act, the Department of Information Resources shall:</w:t>
      </w:r>
    </w:p>
    <w:p w:rsidR="003F3435" w:rsidRDefault="0032493E">
      <w:pPr>
        <w:spacing w:line="480" w:lineRule="auto"/>
        <w:ind w:firstLine="1440"/>
        <w:jc w:val="both"/>
      </w:pPr>
      <w:r>
        <w:t xml:space="preserve">(1)</w:t>
      </w:r>
      <w:r xml:space="preserve">
        <w:t> </w:t>
      </w:r>
      <w:r xml:space="preserve">
        <w:t> </w:t>
      </w:r>
      <w:r>
        <w:t xml:space="preserve">adopt rules necessary to implement Subchapter S, Chapter 2054, Government Code, as added by this Act; and</w:t>
      </w:r>
    </w:p>
    <w:p w:rsidR="003F3435" w:rsidRDefault="0032493E">
      <w:pPr>
        <w:spacing w:line="480" w:lineRule="auto"/>
        <w:ind w:firstLine="1440"/>
        <w:jc w:val="both"/>
      </w:pPr>
      <w:r>
        <w:t xml:space="preserve">(2)</w:t>
      </w:r>
      <w:r xml:space="preserve">
        <w:t> </w:t>
      </w:r>
      <w:r xml:space="preserve">
        <w:t> </w:t>
      </w:r>
      <w:r>
        <w:t xml:space="preserve">develop the outreach program and form required by Sections 2054.704 and 2054.712,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office of the attorney general shall establish the webpage as required by Section 2054.711,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