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Huffman,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1998</w:t>
      </w:r>
    </w:p>
    <w:p w:rsidR="003F3435" w:rsidRDefault="0032493E">
      <w:pPr>
        <w:ind w:firstLine="720"/>
        <w:jc w:val="both"/>
      </w:pPr>
      <w:r>
        <w:t xml:space="preserve">(Shofner, Lalani, et al.)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preceptorship program in a pediatric subspecialty for medical students in this state.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Chapter 58, Education Code, is amended by adding Section 58.011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58.011.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STATEWIDE PEDIATRIC SUBSPECIALTY PRECEPTORSHIP PROGRAM.  (a)  In this section: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"Medical school" has the meaning assigned by Section 61.501(1), except that the term also includes the school of osteopathic medicine at the University of the Incarnate Word.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"Pediatric subspecialty" means a pediatric medical subspecialty certification offered by a member board of the American Board of Medical Specialties or American Osteopathic Association.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Texas Higher Education Coordinating Board may contract with one or more organizations to operate a statewide pediatric subspecialty preceptorship program for medical students enrolled in Texas medical schools.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organization eligible to receive funds under this section must: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qualify for exemption from federal income tax under Section 501, Internal Revenue Code of 1986 (26 U.S.C. Section 501);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 operated by a state accredited medical school.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Students eligible to participate in the preceptorship program under this section must indicate an interest in a career in a pediatric subspecialty.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applies beginning with the 2025-2026 academic year.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1998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