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2024</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6,</w:t>
      </w:r>
      <w:r xml:space="preserve">
        <w:t> </w:t>
      </w:r>
      <w:r>
        <w:t xml:space="preserve">2025; March</w:t>
      </w:r>
      <w:r xml:space="preserve">
        <w:t> </w:t>
      </w:r>
      <w:r>
        <w:t xml:space="preserve">17,</w:t>
      </w:r>
      <w:r xml:space="preserve">
        <w:t> </w:t>
      </w:r>
      <w:r>
        <w:t xml:space="preserve">2025, read first time and referred to Committee on State Affairs; April</w:t>
      </w:r>
      <w:r xml:space="preserve">
        <w:t> </w:t>
      </w:r>
      <w:r>
        <w:t xml:space="preserve">7,</w:t>
      </w:r>
      <w:r xml:space="preserve">
        <w:t> </w:t>
      </w:r>
      <w:r>
        <w:t xml:space="preserve">2025, reported adversely, with favorable Committee Substitute by the following vote:</w:t>
      </w:r>
      <w:r>
        <w:t xml:space="preserve"> </w:t>
      </w:r>
      <w:r>
        <w:t xml:space="preserve"> </w:t>
      </w:r>
      <w:r>
        <w:t xml:space="preserve">Yeas 9, Nays 0; April</w:t>
      </w:r>
      <w:r xml:space="preserve">
        <w:t> </w:t>
      </w:r>
      <w:r>
        <w:t xml:space="preserve">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2024</w:t>
      </w:r>
      <w:r xml:space="preserve">
        <w:tab wTab="150" tlc="none" cTlc="0"/>
      </w:r>
      <w:r>
        <w:t xml:space="preserve">By:</w:t>
      </w:r>
      <w:r xml:space="preserve">
        <w:t> </w:t>
      </w:r>
      <w:r xml:space="preserve">
        <w:t> </w:t>
      </w:r>
      <w:r>
        <w:t xml:space="preserve">Hall</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prohibition on marketing, advertising, or selling certain e-cigarette products;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161.0876(a) and (b),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For purposes of this section, "e-cigarette product" includes any substance [</w:t>
      </w:r>
      <w:r>
        <w:rPr>
          <w:strike/>
        </w:rPr>
        <w:t xml:space="preserve">containing nicotine from any source that is</w:t>
      </w:r>
      <w:r>
        <w:t xml:space="preserve">] intended for use in an e-cigarette</w:t>
      </w:r>
      <w:r>
        <w:rPr>
          <w:u w:val="single"/>
        </w:rPr>
        <w:t xml:space="preserve">, regardless of whether the substance contains nicotine</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markets, advertises, sells, or causes to be sold an e-cigarette product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product</w:t>
      </w:r>
      <w:r>
        <w:t xml:space="preserve"> [</w:t>
      </w:r>
      <w:r>
        <w:rPr>
          <w:strike/>
        </w:rPr>
        <w:t xml:space="preserve">, if the product's</w:t>
      </w:r>
      <w:r>
        <w:t xml:space="preserve">] container </w:t>
      </w:r>
      <w:r>
        <w:rPr>
          <w:u w:val="single"/>
        </w:rPr>
        <w:t xml:space="preserve">that</w:t>
      </w:r>
      <w:r>
        <w:t xml:space="preserve">:</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depicts a cartoon-like fictional character that mimics a character primarily aimed at entertaining minors;</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includes a symbol that is primarily used to market products to minors;</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includes an image </w:t>
      </w:r>
      <w:r>
        <w:rPr>
          <w:u w:val="single"/>
        </w:rPr>
        <w:t xml:space="preserve">or name</w:t>
      </w:r>
      <w:r>
        <w:t xml:space="preserve"> of a celebrity; or</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includes an image that resembles a food product, including candy or juice</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product shape or design disguised to appear as an alternative product, including a product in the shape or design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school or office supply, such as a highlighter, marker, ink pen, or pencil;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smart phone, smart watch, smart phone case, or smart watch case;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headphones, including ear buds;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clothing;</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backpack;</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cosmetic, including lipstick;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toy;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was manufactured in China</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2024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