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2050</w:t>
      </w:r>
    </w:p>
    <w:p w:rsidR="003F3435" w:rsidRDefault="0032493E">
      <w:pPr>
        <w:ind w:firstLine="720"/>
        <w:jc w:val="both"/>
      </w:pPr>
      <w:r>
        <w:t xml:space="preserve">(Landgraf)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recycling and disposal of consumer energy storage modules.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361, Health and Safety Code, is amended by adding Subchapter P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P. </w:t>
      </w:r>
      <w:r>
        <w:rPr>
          <w:u w:val="single"/>
        </w:rPr>
        <w:t xml:space="preserve"> </w:t>
      </w:r>
      <w:r>
        <w:rPr>
          <w:u w:val="single"/>
        </w:rPr>
        <w:t xml:space="preserve">CONSUMER ENERGY STORAGE MODULES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subchapter: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"Consumer energy storage module" means a battery or other electrochemical device that stores chemical energy and transforms it into electrical energy to power a consumer product or electronic device.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"Steward organization" means a group consisting of consumer energy storage module manufacturers, product manufacturers, or other members organized to promote the recycling of consumer energy storage modules.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APPLICABILITY.  This subchapter does not apply to: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lead-acid battery governed by Subchapter O;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alkaline battery;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battery that the commission by rule determines is safe for disposal.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PLACEMENT IN CERTAIN SOLID WASTE DISPOSAL OR RECYCLING STREAMS PROHIBITED.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a person may not place a consumer energy storage module in: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mixed municipal solid waste facility or curbside collection receptacle;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mixed metal recycling collection facility or curbside collection receptacle;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 mixed recyclable material collection facility or curbside collection receptacle.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apply to the placement of a consumer energy storage module in a facility or receptacle described by Subsection (a) in accordance with a local program that provides for the collection for recycling of a consumer energy storage module at a facility or by curbside collection.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LIMITED LIABILITY FOR CERTAIN VIOLATIONS.  Notwithstanding any other law, an individual consumer is not subject to civil, administrative, or criminal liability under Chapter 7, Water Code, for a violation of Section 361.473 that is inadvertent or incidental to noncommercial household use of a consumer energy storage module.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 DUTY OF CERTAIN FACILITY OPERATORS.  Notwithstanding any other law, the owner or operator of a solid waste disposal facility, mixed metal recycling collection facility, or municipal mixed recyclable material collection facility: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not subject to civil, administrative, or criminal liability under Chapter 7, Water Code, if: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person places a consumer energy storage module in the owner's or operator's facility; or</w:t>
      </w:r>
      <w:r>
        <w:t xml:space="preserve"> 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consumer energy storage module otherwise arrives at the owner's or operator's facility through the collection of solid waste or recyclable material for disposal or recycling at the facility;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no duty to locate or remove a consumer energy storage module placed in or otherwise collected by the owner's or operator's facility.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COMMISSION RULEMAKING REGARDING IDENTIFICATION OF COLLECTION BUSINESSES OR FACILITIES AND BATTERIES SAFE FOR DISPOSAL.  The commission by rule shall identify: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businesses or facilities in this state where an individual consumer, steward organization, or other person may place or deliver a consumer energy storage module for recycling or disposal;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types of batteries that the commission determines are safe for disposal for purposes of Section 361.472(3).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As soon as practicable after the effective date of this Act, the Texas Commission on Environmental Quality shall adopt rules necessary to implement the changes in law made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2050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