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 et al.</w:t>
      </w:r>
      <w:r xml:space="preserve">
        <w:tab wTab="150" tlc="none" cTlc="0"/>
      </w:r>
      <w:r>
        <w:t xml:space="preserve">S.B.</w:t>
      </w:r>
      <w:r xml:space="preserve">
        <w:t> </w:t>
      </w:r>
      <w:r>
        <w:t xml:space="preserve">No.</w:t>
      </w:r>
      <w:r xml:space="preserve">
        <w:t> </w:t>
      </w:r>
      <w:r>
        <w:t xml:space="preserve">2137</w:t>
      </w:r>
    </w:p>
    <w:p w:rsidR="003F3435" w:rsidRDefault="0032493E">
      <w:pPr>
        <w:ind w:firstLine="720"/>
        <w:jc w:val="both"/>
      </w:pPr>
      <w:r>
        <w:t xml:space="preserve">(Cunningham, Lopez of Bexar, Cole, Luther, Garcia Hernandez)</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