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2143</w:t>
      </w:r>
    </w:p>
    <w:p w:rsidR="003F3435" w:rsidRDefault="0032493E">
      <w:pPr>
        <w:ind w:firstLine="720"/>
        <w:jc w:val="both"/>
      </w:pPr>
      <w:r>
        <w:t xml:space="preserve">(Lopez of Bexar)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county to commission certain individuals as peace officers and establish certain law enforcement agencies and to certification requirements for fire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Local Government Code, is amended by adding Section 352.0125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352.0125.</w:t>
      </w:r>
      <w:r>
        <w:rPr>
          <w:u w:val="single"/>
        </w:rPr>
        <w:t xml:space="preserve"> </w:t>
      </w:r>
      <w:r>
        <w:rPr>
          <w:u w:val="single"/>
        </w:rPr>
        <w:t xml:space="preserve"> </w:t>
      </w:r>
      <w:r>
        <w:rPr>
          <w:u w:val="single"/>
        </w:rPr>
        <w:t xml:space="preserve">CERTIFICATION REQUIREMENTS IN CERTAIN COUNTIES.  (a) </w:t>
      </w:r>
      <w:r>
        <w:rPr>
          <w:u w:val="single"/>
        </w:rPr>
        <w:t xml:space="preserve"> </w:t>
      </w:r>
      <w:r>
        <w:rPr>
          <w:u w:val="single"/>
        </w:rPr>
        <w:t xml:space="preserve">This section applies only to a county with a population of 100,000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fire marshal shall hold the following certifications issued by the Texas Commission on Fire Protection: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head of a prevention-only fire department certification not later than 12 months after the date the marshal is initially appointed;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fire protection personnel certification not later than 12 months after the date the marshal is initially appointed.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acting as a peace officer, a county fire marshal and any related officer, inspector, and investigator must hold a permanent peace officer license issued under Chapter 1701,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acting under fire marshal authority to conduct or supervise arson investigations or fire inspections, a county fire marshal or the marshal's employees must hold certifications required for fire inspection by the Texas Commission on Fire Protection under Chapter 419,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Local Government Code, is amended by adding Section 352.024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352.024.</w:t>
      </w:r>
      <w:r>
        <w:rPr>
          <w:u w:val="single"/>
        </w:rPr>
        <w:t xml:space="preserve"> </w:t>
      </w:r>
      <w:r>
        <w:rPr>
          <w:u w:val="single"/>
        </w:rPr>
        <w:t xml:space="preserve"> </w:t>
      </w:r>
      <w:r>
        <w:rPr>
          <w:u w:val="single"/>
        </w:rPr>
        <w:t xml:space="preserve">AUTHORITY TO COMMISSION CERTAIN FIRE PROTECTION OFFICERS AS PEACE OFFICERS.  (a)  A county may commission a fire marshal, fire officer, fire inspector, or fire investigator as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commissioned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fire-related operations or investigations;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enforce building-related codes, including codes involving hazardous materials;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involving building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commissioned under this section may not enforce violations of Subtitle C, Title 7, Transportation Code, except as related to the enforcement of this chapter or as authorized by Article 14.03,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362, Local Government Code, is amended by adding Section 362.006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362.006.</w:t>
      </w:r>
      <w:r>
        <w:rPr>
          <w:u w:val="single"/>
        </w:rPr>
        <w:t xml:space="preserve"> </w:t>
      </w:r>
      <w:r>
        <w:rPr>
          <w:u w:val="single"/>
        </w:rPr>
        <w:t xml:space="preserve"> </w:t>
      </w:r>
      <w:r>
        <w:rPr>
          <w:u w:val="single"/>
        </w:rPr>
        <w:t xml:space="preserve">ESTABLISHMENT OF CERTAIN LAW ENFORCEMENT AGENCIES.  A county may establish a law enforcement agency only if authorized by the constitution or other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352.0125, Local Government Code, as added by this Act, a fire marshal for a county with a population of 100,000 or more initially appointed before the effective date of this Act must receive the following certifications:</w:t>
      </w:r>
    </w:p>
    <w:p w:rsidR="003F3435" w:rsidRDefault="0032493E">
      <w:pPr>
        <w:spacing w:line="480" w:lineRule="auto"/>
        <w:ind w:firstLine="1440"/>
        <w:jc w:val="both"/>
      </w:pPr>
      <w:r>
        <w:t xml:space="preserve">(1)</w:t>
      </w:r>
      <w:r xml:space="preserve">
        <w:t> </w:t>
      </w:r>
      <w:r xml:space="preserve">
        <w:t> </w:t>
      </w:r>
      <w:r>
        <w:t xml:space="preserve">head of a prevention-only fire department certification issued by the Texas Commission on Fire Protection not later than 12 months after the effective date of this Act;</w:t>
      </w:r>
    </w:p>
    <w:p w:rsidR="003F3435" w:rsidRDefault="0032493E">
      <w:pPr>
        <w:spacing w:line="480" w:lineRule="auto"/>
        <w:ind w:firstLine="1440"/>
        <w:jc w:val="both"/>
      </w:pPr>
      <w:r>
        <w:t xml:space="preserve">(2)</w:t>
      </w:r>
      <w:r xml:space="preserve">
        <w:t> </w:t>
      </w:r>
      <w:r xml:space="preserve">
        <w:t> </w:t>
      </w:r>
      <w:r>
        <w:t xml:space="preserve">a fire protection personnel certification issued by the Texas Commission on Fire Protection not later than 12 months after the effective date of this Act; and</w:t>
      </w:r>
    </w:p>
    <w:p w:rsidR="003F3435" w:rsidRDefault="0032493E">
      <w:pPr>
        <w:spacing w:line="480" w:lineRule="auto"/>
        <w:ind w:firstLine="1440"/>
        <w:jc w:val="both"/>
      </w:pPr>
      <w:r>
        <w:t xml:space="preserve">(3)</w:t>
      </w:r>
      <w:r xml:space="preserve">
        <w:t> </w:t>
      </w:r>
      <w:r xml:space="preserve">
        <w:t> </w:t>
      </w:r>
      <w:r>
        <w:t xml:space="preserve">if acting as a peace officer, a permanent peace officer license issued under Chapter 1701,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