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89R16116 EAS-D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Huffman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2146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information reported by prosecuting attorneys to the Texas Judicial Council.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71, Government Code, is amended by adding Section 71.0354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71.0354.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PROSECUTING ATTORNEY INFORMATION.  (a)  In this section, "prosecuting attorney" means a county attorney, district attorney, or criminal district attorney representing this state in criminal matters before the district or other courts of the county.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prosecuting attorney shall report in the form and manner prescribed by the council information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categories of criminal offenses prosecuted by the prosecuting attorney and the number of criminal cases in each category;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personnel employed by the prosecuting attorney and whether that number is sufficient to support the  prosecutor's caseload;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times a defendant was released as provided by Article 17.151, Code of Criminal Procedure;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electronic notices submitted by the prosecuting attorney to a court as required by Article 17.027(a)(2),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prescribing the information to be submitted and form and manner of submission of the information under Subsection (b), the council shall consult with: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Texas District and County Attorneys Association;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other interested persons.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September 1, 2026, the Texas Judicial Council shall prescribe the information, and form and manner of submission, a prosecuting attorney in this state is required to report under Section 71.0354, Government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2146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