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 et al.</w:t>
      </w:r>
      <w:r xml:space="preserve">
        <w:tab wTab="150" tlc="none" cTlc="0"/>
      </w:r>
      <w:r>
        <w:t xml:space="preserve">S.B.</w:t>
      </w:r>
      <w:r xml:space="preserve">
        <w:t> </w:t>
      </w:r>
      <w:r>
        <w:t xml:space="preserve">No.</w:t>
      </w:r>
      <w:r xml:space="preserve">
        <w:t> </w:t>
      </w:r>
      <w:r>
        <w:t xml:space="preserve">2199</w:t>
      </w:r>
    </w:p>
    <w:p w:rsidR="003F3435" w:rsidRDefault="0032493E">
      <w:pPr>
        <w:ind w:firstLine="720"/>
        <w:jc w:val="both"/>
      </w:pPr>
      <w:r>
        <w:t xml:space="preserve">(Little)</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increasing the criminal penalty for loading certain overweight vehicles transporting hazardous materials at a weight that exceeds the weight limitations authorized for the vehicle.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621.506, Transportation Code, is amended by amending Subsection (b) and adding Subsection (b-4) to read as follows:</w:t>
      </w:r>
    </w:p>
    <w:p w:rsidR="003F3435" w:rsidRDefault="0032493E">
      <w:pPr>
        <w:spacing w:line="480" w:lineRule="auto"/>
        <w:ind w:firstLine="720"/>
        <w:jc w:val="both"/>
      </w:pPr>
      <w:r>
        <w:t xml:space="preserve">(b)</w:t>
      </w:r>
      <w:r xml:space="preserve">
        <w:t> </w:t>
      </w:r>
      <w:r xml:space="preserve">
        <w:t> </w:t>
      </w:r>
      <w:r>
        <w:t xml:space="preserve">Except as provided by Subsections (b-1), (b-2), [</w:t>
      </w:r>
      <w:r>
        <w:rPr>
          <w:strike/>
        </w:rPr>
        <w:t xml:space="preserve">and</w:t>
      </w:r>
      <w:r>
        <w:t xml:space="preserve">] (b-3), </w:t>
      </w:r>
      <w:r>
        <w:rPr>
          <w:u w:val="single"/>
        </w:rPr>
        <w:t xml:space="preserve">and (b-4),</w:t>
      </w:r>
      <w:r>
        <w:t xml:space="preserve"> an offense under this section is a misdemeanor punishable:</w:t>
      </w:r>
    </w:p>
    <w:p w:rsidR="003F3435" w:rsidRDefault="0032493E">
      <w:pPr>
        <w:spacing w:line="480" w:lineRule="auto"/>
        <w:ind w:firstLine="1440"/>
        <w:jc w:val="both"/>
      </w:pPr>
      <w:r>
        <w:t xml:space="preserve">(1)</w:t>
      </w:r>
      <w:r xml:space="preserve">
        <w:t> </w:t>
      </w:r>
      <w:r xml:space="preserve">
        <w:t> </w:t>
      </w:r>
      <w:r>
        <w:t xml:space="preserve">by a fine of not less than $100 and not more than $250;</w:t>
      </w:r>
    </w:p>
    <w:p w:rsidR="003F3435" w:rsidRDefault="0032493E">
      <w:pPr>
        <w:spacing w:line="480" w:lineRule="auto"/>
        <w:ind w:firstLine="1440"/>
        <w:jc w:val="both"/>
      </w:pPr>
      <w:r>
        <w:t xml:space="preserve">(2)</w:t>
      </w:r>
      <w:r xml:space="preserve">
        <w:t> </w:t>
      </w:r>
      <w:r xml:space="preserve">
        <w:t> </w:t>
      </w:r>
      <w:r>
        <w:t xml:space="preserve">on conviction of an offense involving a vehicle having a single axle weight or tandem axle weight that is heavier than the vehicle's allowable weight, by a fine according to the following schedule:</w:t>
      </w:r>
    </w:p>
    <w:tbl>
      <w:tr>
        <w:tc>
          <w:p/>
        </w:tc>
        <w:tc>
          <w:p>
            <w:r>
              <w:t xml:space="preserve">Pounds Overweight</w:t>
            </w:r>
          </w:p>
        </w:tc>
        <w:tc>
          <w:p>
            <w:r>
              <w:t xml:space="preserve">Fine Range</w:t>
            </w:r>
          </w:p>
        </w:tc>
      </w:tr>
      <w:tr>
        <w:tc>
          <w:p/>
        </w:tc>
        <w:tc>
          <w:p>
            <w:r>
              <w:t xml:space="preserve">less than 2,500</w:t>
            </w:r>
          </w:p>
        </w:tc>
        <w:tc>
          <w:p>
            <w:r>
              <w:t xml:space="preserve">$100 to $500</w:t>
            </w:r>
          </w:p>
        </w:tc>
      </w:tr>
      <w:tr>
        <w:tc>
          <w:p/>
        </w:tc>
        <w:tc>
          <w:p>
            <w:r>
              <w:t xml:space="preserve">2,500-5,000</w:t>
            </w:r>
          </w:p>
        </w:tc>
        <w:tc>
          <w:p>
            <w:r>
              <w:t xml:space="preserve">$500 to $1,000</w:t>
            </w:r>
          </w:p>
        </w:tc>
      </w:tr>
      <w:tr>
        <w:tc>
          <w:p/>
        </w:tc>
        <w:tc>
          <w:p>
            <w:r>
              <w:t xml:space="preserve">more than 5,000</w:t>
            </w:r>
          </w:p>
        </w:tc>
        <w:tc>
          <w:p>
            <w:r>
              <w:t xml:space="preserve">$1,000 to $2,500; or</w:t>
            </w:r>
          </w:p>
        </w:tc>
      </w:tr>
    </w:tbl>
    <w:p w:rsidR="003F3435" w:rsidRDefault="0032493E">
      <w:pPr>
        <w:spacing w:line="480" w:lineRule="auto"/>
        <w:ind w:firstLine="1440"/>
        <w:jc w:val="both"/>
      </w:pPr>
      <w:r>
        <w:t xml:space="preserve">(3)</w:t>
      </w:r>
      <w:r xml:space="preserve">
        <w:t> </w:t>
      </w:r>
      <w:r xml:space="preserve">
        <w:t> </w:t>
      </w:r>
      <w:r>
        <w:t xml:space="preserve">on conviction of an offense involving a vehicle having a gross weight that is heavier than the vehicle's allowable weight, by a fine according to the following schedule:</w:t>
      </w:r>
    </w:p>
    <w:tbl>
      <w:tr>
        <w:tc>
          <w:p/>
        </w:tc>
        <w:tc>
          <w:p>
            <w:r>
              <w:t xml:space="preserve">Pounds Overweight</w:t>
            </w:r>
          </w:p>
        </w:tc>
        <w:tc>
          <w:p>
            <w:r>
              <w:t xml:space="preserve">Fine Range</w:t>
            </w:r>
          </w:p>
        </w:tc>
      </w:tr>
      <w:tr>
        <w:tc>
          <w:p/>
        </w:tc>
        <w:tc>
          <w:p>
            <w:r>
              <w:t xml:space="preserve">less than 2,500</w:t>
            </w:r>
          </w:p>
        </w:tc>
        <w:tc>
          <w:p>
            <w:r>
              <w:t xml:space="preserve">$100 to $500</w:t>
            </w:r>
          </w:p>
        </w:tc>
      </w:tr>
      <w:tr>
        <w:tc>
          <w:p/>
        </w:tc>
        <w:tc>
          <w:p>
            <w:r>
              <w:t xml:space="preserve">2,500-5,000</w:t>
            </w:r>
          </w:p>
        </w:tc>
        <w:tc>
          <w:p>
            <w:r>
              <w:t xml:space="preserve">$500 to $1,000</w:t>
            </w:r>
          </w:p>
        </w:tc>
      </w:tr>
      <w:tr>
        <w:tc>
          <w:p/>
        </w:tc>
        <w:tc>
          <w:p>
            <w:r>
              <w:t xml:space="preserve">5,001-10,000</w:t>
            </w:r>
          </w:p>
        </w:tc>
        <w:tc>
          <w:p>
            <w:r>
              <w:t xml:space="preserve">$1,000 to $2,500</w:t>
            </w:r>
          </w:p>
        </w:tc>
      </w:tr>
      <w:tr>
        <w:tc>
          <w:p/>
        </w:tc>
        <w:tc>
          <w:p>
            <w:r>
              <w:t xml:space="preserve">10,001-20,000</w:t>
            </w:r>
          </w:p>
        </w:tc>
        <w:tc>
          <w:p>
            <w:r>
              <w:t xml:space="preserve">$2,500 to $5,000</w:t>
            </w:r>
          </w:p>
        </w:tc>
      </w:tr>
      <w:tr>
        <w:tc>
          <w:p/>
        </w:tc>
        <w:tc>
          <w:p>
            <w:r>
              <w:t xml:space="preserve">20,001-40,000</w:t>
            </w:r>
          </w:p>
        </w:tc>
        <w:tc>
          <w:p>
            <w:r>
              <w:t xml:space="preserve">$5,000 to $7,000</w:t>
            </w:r>
          </w:p>
        </w:tc>
      </w:tr>
      <w:tr>
        <w:tc>
          <w:p/>
        </w:tc>
        <w:tc>
          <w:p>
            <w:r>
              <w:t xml:space="preserve">more than 40,000</w:t>
            </w:r>
          </w:p>
        </w:tc>
        <w:tc>
          <w:p>
            <w:r>
              <w:t xml:space="preserve">$7,000 to $10,000.</w:t>
            </w:r>
          </w:p>
        </w:tc>
      </w:tr>
    </w:tbl>
    <w:p w:rsidR="003F3435" w:rsidRDefault="0032493E">
      <w:pPr>
        <w:spacing w:line="480" w:lineRule="auto"/>
        <w:ind w:firstLine="720"/>
        <w:jc w:val="both"/>
      </w:pPr>
      <w:r>
        <w:rPr>
          <w:u w:val="single"/>
        </w:rPr>
        <w:t xml:space="preserve">(b-4)</w:t>
      </w:r>
      <w:r>
        <w:rPr>
          <w:u w:val="single"/>
        </w:rPr>
        <w:t xml:space="preserve"> </w:t>
      </w:r>
      <w:r>
        <w:rPr>
          <w:u w:val="single"/>
        </w:rPr>
        <w:t xml:space="preserve"> </w:t>
      </w:r>
      <w:r>
        <w:rPr>
          <w:u w:val="single"/>
        </w:rPr>
        <w:t xml:space="preserve">Notwithstanding any other provision of this section, an offense under Subsection (a)(2) is a felony of the second degree if the offense involves a vehicle with at least three axles that is transporting fuel or other hazardous materials in a cargo tank, as defined by Section 162.001, Tax Code, and was loaded at a weight that exceeds the weight limitations authorized for the vehicle.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2199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