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2200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prohibition on the operation or movement of certain overweight vehicles transporting hazardous materials under certain circumstances; creating a criminal offense.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621, Transportation Code, is amended by adding Section 621.512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621.512.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OPERATION OR MOVEMENT OF CERTAIN OVERWEIGHT VEHICLES TRANSPORTING HAZARDOUS MATERIALS PROHIBITED UNDER CERTAIN CIRCUMSTANCES.  (a)  A person commits an offense if the person operates or moves an overweight vehicle described by Subsection (b) on a public highway: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is not included in the route designated under the permit under which the vehicle is operating;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without a permit authorizing the movement of the vehicle and the vehicle exceeds the maximum gross weight authorized for the vehicle by at least five percent.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(a) applies only to an overweight vehicle with at least three axles that is transporting in a cargo tank hazardous materials in a quantity requiring placarding by a regulation issued under the Hazardous Materials Transportation Act (49 U.S.C. Section 5101 et seq.).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offense under this section is a felony of the second degree.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It is an affirmative defense to prosecution of an offense under this section that, at the time of the offense, the vehicle was being operated or moved under the immediate direction of a law enforcement agency.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It is an affirmative defense to prosecution of an offense under Subsection (a)(1) that, at the time of the offense, the vehicle was being operated or moved in compliance with a permit authorizing the movement of the vehicle issued by the department or a political subdivision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2200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