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2200</w:t>
      </w:r>
    </w:p>
    <w:p w:rsidR="003F3435" w:rsidRDefault="0032493E">
      <w:pPr>
        <w:ind w:firstLine="720"/>
        <w:jc w:val="both"/>
      </w:pPr>
      <w:r>
        <w:t xml:space="preserve">(LaHood)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prohibition on the operation or movement of certain overweight vehicles transporting hazardous materials under certain circumstances; creating a criminal offense.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621, Transportation Code, is amended by adding Section 621.512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621.512.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OPERATION OR MOVEMENT OF CERTAIN OVERWEIGHT VEHICLES TRANSPORTING HAZARDOUS MATERIALS PROHIBITED UNDER CERTAIN CIRCUMSTANCES.  (a)  A person commits an offense if the person operates or moves an overweight vehicle described by Subsection (b) on a public highway: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not included in the route designated under the permit under which the vehicle is operating;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without a permit authorizing the movement of the vehicle and the vehicle exceeds the maximum gross weight authorized for the vehicle by at least five percent.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(a) applies only to an overweight vehicle with at least three axles that is transporting in a cargo tank hazardous materials in a quantity requiring placarding by a regulation issued under the Hazardous Materials Transportation Act (49 U.S.C. Section 5101 et seq.).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offense under this section is a felony of the second degree.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of an offense under this section that, at the time of the offense, the vehicle was being operated or moved under the immediate direction of a law enforcement agency.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of an offense under Subsection (a)(1) that, at the time of the offense, the vehicle was being operated or moved in compliance with a permit authorizing the movement of the vehicle issued by the department or a political subdivision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2200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