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2200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March</w:t>
      </w:r>
      <w:r xml:space="preserve">
        <w:t> </w:t>
      </w:r>
      <w:r>
        <w:t xml:space="preserve">11,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24,</w:t>
      </w:r>
      <w:r xml:space="preserve">
        <w:t> </w:t>
      </w:r>
      <w:r>
        <w:t xml:space="preserve">2025, read first time and referred to Committee on Border Security; April</w:t>
      </w:r>
      <w:r xml:space="preserve">
        <w:t> </w:t>
      </w:r>
      <w:r>
        <w:t xml:space="preserve">14,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5, Nays 0; April</w:t>
      </w:r>
      <w:r xml:space="preserve">
        <w:t> </w:t>
      </w:r>
      <w:r>
        <w:t xml:space="preserve">14,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Eckhardt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2200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a prohibition on the operation or movement of certain overweight vehicles transporting hazardous materials under certain circumstances; creating a criminal offense.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621, Transportation Code, is amended by adding Section 621.512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621.512.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OPERATION OR MOVEMENT OF CERTAIN OVERWEIGHT VEHICLES TRANSPORTING HAZARDOUS MATERIALS PROHIBITED UNDER CERTAIN CIRCUMSTANCES.  (a)  A person commits an offense if the person operates or moves an overweight vehicle described by Subsection (b) on a public highway: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is not included in the route designated under the permit under which the vehicle is operating;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without a permit authorizing the movement of the vehicle and the vehicle exceeds the maximum gross weight authorized for the vehicle by at least five percent.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(a) applies only to an overweight vehicle with three axles that is transporting in a cargo tank hazardous materials in a quantity requiring placarding by a regulation issued under the Hazardous Materials Transportation Act (49 U.S.C. Section 5101 et seq.).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offense under this section is a felony of the second degree.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It is an affirmative defense to prosecution of an offense under this section that, at the time of the offense, the vehicle was being operated or moved under the immediate direction of a law enforcement agency.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It is an affirmative defense to prosecution of an offense under Subsection (a)(1) that, at the time of the offense, the vehicle was being operated or moved in compliance with a permit authorizing the movement of the vehicle issued by the department or a political subdivision of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2200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