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Birdwell</w:t>
      </w:r>
      <w:r xml:space="preserve">
        <w:tab wTab="150" tlc="none" cTlc="0"/>
      </w:r>
      <w:r>
        <w:t xml:space="preserve">S.B.</w:t>
      </w:r>
      <w:r xml:space="preserve">
        <w:t> </w:t>
      </w:r>
      <w:r>
        <w:t xml:space="preserve">No.</w:t>
      </w:r>
      <w:r xml:space="preserve">
        <w:t> </w:t>
      </w:r>
      <w:r>
        <w:t xml:space="preserve">2204</w:t>
      </w:r>
    </w:p>
    <w:p w:rsidR="003F3435" w:rsidRDefault="0032493E">
      <w:pPr>
        <w:ind w:firstLine="720"/>
        <w:jc w:val="both"/>
      </w:pPr>
      <w:r>
        <w:t xml:space="preserve">(Fairly)</w:t>
      </w:r>
    </w:p>
    <w:p w:rsidR="003F3435" w:rsidRDefault="003F3435"/>
    <w:p w:rsidR="003F3435" w:rsidRDefault="0032493E">
      <w:pPr>
        <w:spacing w:before="240"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applicability of uniform grant and contract management standards to certain Texas Water Development Board programs.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15.008, Water Code, is amended to read as follows:</w:t>
      </w:r>
    </w:p>
    <w:p w:rsidR="003F3435" w:rsidRDefault="0032493E">
      <w:pPr>
        <w:spacing w:line="480" w:lineRule="auto"/>
        <w:ind w:firstLine="720"/>
        <w:jc w:val="both"/>
      </w:pPr>
      <w:r>
        <w:t xml:space="preserve">Sec.</w:t>
      </w:r>
      <w:r xml:space="preserve">
        <w:t> </w:t>
      </w:r>
      <w:r>
        <w:t xml:space="preserve">15.008.</w:t>
      </w:r>
      <w:r xml:space="preserve">
        <w:t> </w:t>
      </w:r>
      <w:r xml:space="preserve">
        <w:t> </w:t>
      </w:r>
      <w:r>
        <w:t xml:space="preserve">GRANT STANDARDS.</w:t>
      </w:r>
      <w:r xml:space="preserve">
        <w:t> </w:t>
      </w:r>
      <w:r xml:space="preserve">
        <w:t> </w:t>
      </w:r>
      <w:r>
        <w:t xml:space="preserve">The law regarding uniform grant and contract management, Chapter 783, Government Code, does not apply to a contract under Subchapter </w:t>
      </w:r>
      <w:r>
        <w:rPr>
          <w:u w:val="single"/>
        </w:rPr>
        <w:t xml:space="preserve">B, C,</w:t>
      </w:r>
      <w:r>
        <w:t xml:space="preserve"> F, H, I, K, [</w:t>
      </w:r>
      <w:r>
        <w:rPr>
          <w:strike/>
        </w:rPr>
        <w:t xml:space="preserve">or</w:t>
      </w:r>
      <w:r>
        <w:t xml:space="preserve">] P, or </w:t>
      </w:r>
      <w:r>
        <w:rPr>
          <w:u w:val="single"/>
        </w:rPr>
        <w:t xml:space="preserve">R</w:t>
      </w:r>
      <w:r>
        <w:t xml:space="preserve"> [</w:t>
      </w:r>
      <w:r>
        <w:rPr>
          <w:strike/>
        </w:rPr>
        <w:t xml:space="preserve">to a contract relating to an economically distressed area or nonborder colonia under Subchapter C</w:t>
      </w:r>
      <w:r>
        <w:t xml:space="preserv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The changes in law made by this Act apply only to a contract entered into on or after the effective date of this Act. A contract entered into before the effective date of this Act is governed by the law in effect immediately before the effective date of this Act, and that law is continued in effect for that purpose.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2204</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