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Hinojosa of Nueces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2233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March</w:t>
      </w:r>
      <w:r xml:space="preserve">
        <w:t> </w:t>
      </w:r>
      <w:r>
        <w:t xml:space="preserve">11,</w:t>
      </w:r>
      <w:r xml:space="preserve">
        <w:t> </w:t>
      </w:r>
      <w:r>
        <w:t xml:space="preserve">2025; March</w:t>
      </w:r>
      <w:r xml:space="preserve">
        <w:t> </w:t>
      </w:r>
      <w:r>
        <w:t xml:space="preserve">25,</w:t>
      </w:r>
      <w:r xml:space="preserve">
        <w:t> </w:t>
      </w:r>
      <w:r>
        <w:t xml:space="preserve">2025, read first time and referred to Committee on Education K-16; May</w:t>
      </w:r>
      <w:r xml:space="preserve">
        <w:t> </w:t>
      </w:r>
      <w:r>
        <w:t xml:space="preserve">15,</w:t>
      </w:r>
      <w:r xml:space="preserve">
        <w:t> </w:t>
      </w:r>
      <w:r>
        <w:t xml:space="preserve">2025, reported adversely, with favorable Committee Substitute by the following vote:</w:t>
      </w:r>
      <w:r>
        <w:t xml:space="preserve"> </w:t>
      </w:r>
      <w:r>
        <w:t xml:space="preserve"> </w:t>
      </w:r>
      <w:r>
        <w:t xml:space="preserve">Yeas 9, Nays 2; May</w:t>
      </w:r>
      <w:r xml:space="preserve">
        <w:t> </w:t>
      </w:r>
      <w:r>
        <w:t xml:space="preserve">15,</w:t>
      </w:r>
      <w:r xml:space="preserve">
        <w:t> </w:t>
      </w:r>
      <w:r>
        <w:t xml:space="preserve">2025,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Hagenbuch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Hinojosa of Nueces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S.B.</w:t>
      </w:r>
      <w:r xml:space="preserve">
        <w:t> </w:t>
      </w:r>
      <w:r>
        <w:t xml:space="preserve">No.</w:t>
      </w:r>
      <w:r xml:space="preserve">
        <w:t> </w:t>
      </w:r>
      <w:r>
        <w:t xml:space="preserve">2233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Parker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a prohibition on certain persons supporting terrorist activity at public institutions of higher education.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Z, Chapter 51, Education Code, is amended by adding Section 51.989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51.989.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PROHIBITION ON CERTAIN PERSONS SUPPORTING TERRORIST ACTIVITY.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"Institution of higher education" has the meaning assigned by Section 61.003.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"Terrorist activity" and "terrorist organization" have the meanings assigned by 8 U.S.C. Section 1182.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institution of higher education shall adopt a policy prohibiting a student enrolled at or employee of the institution who holds a nonimmigrant visa from: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publicly supporting terrorist activity related to an ongoing conflict;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at any time or place, persuading others to support terrorist activity related to an ongoing conflict or to support a terrorist organization.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an institution of higher education receives a report that a student enrolled at or employee of the institution who holds a nonimmigrant visa has violated the policy adopted under Subsection (b), the institution shall conduct an investigation to determine whether a violation occurred.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an institution of higher education determines by a preponderance of the evidence that a student enrolled at or employee of the institution who holds a nonimmigrant visa violated the policy adopted under Subsection (b), the institution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the first violation, suspend the student or the employee's employment for a period of at least one year;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the second violation, expel the student or terminate the employee's employment;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promptly report the suspension, expulsion, or termination to the United States Department of Homeland Security through the Student and Exchange Visitor Information System (SEVIS).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institution of higher education may not admit to or hire at the institution a person: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who has been suspended under Subsection (d)(1) during the period of the suspension;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who has been expelled or whose employment was terminated under Subsection (d)(2).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attorney general may bring an action against an institution of higher education to compel the institution to comply with this section. </w:t>
      </w:r>
      <w:r>
        <w:rPr>
          <w:u w:val="single"/>
        </w:rPr>
        <w:t xml:space="preserve"> </w:t>
      </w:r>
      <w:r>
        <w:rPr>
          <w:u w:val="single"/>
        </w:rPr>
        <w:t xml:space="preserve">If the court determines that the institution has failed to comply with this section, the court may impose on the institution a fine in an amount not to exceed one percent of the institution's annual budget per instance of failure to comply.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C.S.S.B.</w:t>
    </w:r>
    <w:r xml:space="preserve">
      <w:t> </w:t>
    </w:r>
    <w:r>
      <w:t xml:space="preserve">No.</w:t>
    </w:r>
    <w:r xml:space="preserve">
      <w:t> </w:t>
    </w:r>
    <w:r>
      <w:t xml:space="preserve">2233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