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2268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11,</w:t>
      </w:r>
      <w:r xml:space="preserve">
        <w:t> </w:t>
      </w:r>
      <w:r>
        <w:t xml:space="preserve">2025; March</w:t>
      </w:r>
      <w:r xml:space="preserve">
        <w:t> </w:t>
      </w:r>
      <w:r>
        <w:t xml:space="preserve">25,</w:t>
      </w:r>
      <w:r xml:space="preserve">
        <w:t> </w:t>
      </w:r>
      <w:r>
        <w:t xml:space="preserve">2025, read first time and referred to Committee on Business &amp; Commerce; April</w:t>
      </w:r>
      <w:r xml:space="preserve">
        <w:t> </w:t>
      </w:r>
      <w:r>
        <w:t xml:space="preserve">16,</w:t>
      </w:r>
      <w:r xml:space="preserve">
        <w:t> </w:t>
      </w:r>
      <w:r>
        <w:t xml:space="preserve">2025, reported favorably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disbursement of initial funds under the Texas energy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34.0104(l), Utilities Code, is amended to read as follows:</w:t>
      </w:r>
    </w:p>
    <w:p w:rsidR="003F3435" w:rsidRDefault="0032493E">
      <w:pPr>
        <w:spacing w:line="480" w:lineRule="auto"/>
        <w:ind w:firstLine="720"/>
        <w:jc w:val="both"/>
      </w:pPr>
      <w:r>
        <w:t xml:space="preserve">(l)</w:t>
      </w:r>
      <w:r xml:space="preserve">
        <w:t> </w:t>
      </w:r>
      <w:r xml:space="preserve">
        <w:t> </w:t>
      </w:r>
      <w:r>
        <w:t xml:space="preserve">The commission may [</w:t>
      </w:r>
      <w:r>
        <w:rPr>
          <w:strike/>
        </w:rPr>
        <w:t xml:space="preserve">not</w:t>
      </w:r>
      <w:r>
        <w:t xml:space="preserve">] disburse the initial funds for a loan under this section after December 31, 2025</w:t>
      </w:r>
      <w:r>
        <w:rPr>
          <w:u w:val="single"/>
        </w:rPr>
        <w:t xml:space="preserve">, if the commission determines that market factors necessitate an extension of the deadline for disbursement of initial funds.  An applicant may request disbursement of initial funds after December 31, 2025.  The commission shall approve or deny the request on a case-by-case basis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