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Creighton, et al.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2365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policy prohibiting the use of personal wireless communication devices by public school students during instructional time.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A, Chapter 38, Education Code, is amended by adding Section 38.0232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38.0232.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STUDENT USE OF PERSONAL WIRELESS COMMUNICATION DEVICES DURING INSTRUCTIONAL TIME PROHIBITED.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"personal wireless communication device" means an electronic device, other than a device issued to an enrolled student by a school district or open-enrollment charter school, that is capable of transmitting or receiving data, such as text messages,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laptop computer;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cell phone, such as a smartphone;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tablet.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Section 38.0231, the board of trustees of a school district and the governing body of an open-enrollment charter school shall adopt a policy prohibiting a student in the district or school from using a personal wireless communication device during instructional time.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adopting the policy, the board of trustees or governing body must authorize the use of a personal wireless communication device: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implement an individualized education program, a plan created under Section 504, Rehabilitation Act of 1973 (29 U.S.C. Section 794), or a similar program or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by a student with a documented need based on a directive from a qualified physician;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necessary to comply with a health or safety requirement imposed by law or included in the district's or school's safety protocols.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2025-2026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2365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