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2367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certain counties to enact certain park use rules.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320.0455(a) and (b-1), Local Government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This section applies only to a county with a population of: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2.8 million or more;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800,000 or more that is adjacent to a county with a population of 2.8 million or more; [</w:t>
      </w:r>
      <w:r>
        <w:rPr>
          <w:strike/>
        </w:rPr>
        <w:t xml:space="preserve">or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more than 550,000 and less than 620,000</w:t>
      </w:r>
      <w:r>
        <w:rPr>
          <w:u w:val="single"/>
        </w:rPr>
        <w:t xml:space="preserve">; or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less than 75,000 that is adjacent to three counties with populations of more than 450,000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(b-1)</w:t>
      </w:r>
      <w:r xml:space="preserve">
        <w:t> </w:t>
      </w:r>
      <w:r xml:space="preserve">
        <w:t> </w:t>
      </w:r>
      <w:r>
        <w:t xml:space="preserve">A board created for a county described by Subsection (a)(2) </w:t>
      </w:r>
      <w:r>
        <w:rPr>
          <w:u w:val="single"/>
        </w:rPr>
        <w:t xml:space="preserve">or (a)(4)</w:t>
      </w:r>
      <w:r>
        <w:t xml:space="preserve"> may not adopt rules relating to the use of fireworks.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2367 passed the Senate on May</w:t>
      </w:r>
      <w:r xml:space="preserve">
        <w:t> </w:t>
      </w:r>
      <w:r>
        <w:t xml:space="preserve">9,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2367 passed the House on May</w:t>
      </w:r>
      <w:r xml:space="preserve">
        <w:t> </w:t>
      </w:r>
      <w:r>
        <w:t xml:space="preserve">28,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119, Nays</w:t>
      </w:r>
      <w:r xml:space="preserve">
        <w:t> </w:t>
      </w:r>
      <w:r>
        <w:t xml:space="preserve">22,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2367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