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Kolkhorst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2367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March</w:t>
      </w:r>
      <w:r xml:space="preserve">
        <w:t> </w:t>
      </w:r>
      <w:r>
        <w:t xml:space="preserve">12,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25,</w:t>
      </w:r>
      <w:r xml:space="preserve">
        <w:t> </w:t>
      </w:r>
      <w:r>
        <w:t xml:space="preserve">2025, read first time and referred to Committee on Local Government; April</w:t>
      </w:r>
      <w:r xml:space="preserve">
        <w:t> </w:t>
      </w:r>
      <w:r>
        <w:t xml:space="preserve">30,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April</w:t>
      </w:r>
      <w:r xml:space="preserve">
        <w:t> </w:t>
      </w:r>
      <w:r>
        <w:t xml:space="preserve">30,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authority of certain counties to enact certain park use rules.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320.0455(a) and (b-1), Local Government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This section applies only to a county with a population of: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2.8 million or more;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800,000 or more that is adjacent to a county with a population of 2.8 million or more; [</w:t>
      </w:r>
      <w:r>
        <w:rPr>
          <w:strike/>
        </w:rPr>
        <w:t xml:space="preserve">or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more than 550,000 and less than 620,000</w:t>
      </w:r>
      <w:r>
        <w:rPr>
          <w:u w:val="single"/>
        </w:rPr>
        <w:t xml:space="preserve">; or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less than 75,000 that is adjacent to three counties with populations of more than 450,000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(b-1)</w:t>
      </w:r>
      <w:r xml:space="preserve">
        <w:t> </w:t>
      </w:r>
      <w:r xml:space="preserve">
        <w:t> </w:t>
      </w:r>
      <w:r>
        <w:t xml:space="preserve">A board created for a county described by Subsection (a)(2) </w:t>
      </w:r>
      <w:r>
        <w:rPr>
          <w:u w:val="single"/>
        </w:rPr>
        <w:t xml:space="preserve">or (a)(4)</w:t>
      </w:r>
      <w:r>
        <w:t xml:space="preserve"> may not adopt rules relating to the use of fireworks.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2367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