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2373</w:t>
      </w:r>
    </w:p>
    <w:p w:rsidR="003F3435" w:rsidRDefault="003F3435"/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financial exploitation or financial abuse using artificially generated media or phishing communications; providing a civil penalty; creating a criminal offense.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Title 4, Civil Practice and Remedies Code, is amended by adding Chapter 100B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CHAPTER 100B.  LIABILITY FOR FINANCIAL EXPLOITATION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"Artificial intelligence" means a machine-based system that can, for a given set of explicit or implicit objectives, make predictions, recommendations, or decisions that influence real or virtual environments.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"Artificially generated media" means an image, an audio file, a video file, a radio broadcast, written text, or other media created or modified using artificial intelligence or other computer software with the intent to deceive.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"Financial exploitation" has the meaning assigned by Section 281.001, Finance Code.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"Phishing communication" means an attempt to deceive or manipulate a person into providing personal, financial, or identifying information through e-mail, electronic communication, or other digital means.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CAUSE OF ACTION FOR DISSEMINATION OF CERTAIN COMMUNICATIONS FOR FINANCIAL EXPLOITATION.  (a) </w:t>
      </w:r>
      <w:r>
        <w:rPr>
          <w:u w:val="single"/>
        </w:rPr>
        <w:t xml:space="preserve"> </w:t>
      </w:r>
      <w:r>
        <w:rPr>
          <w:u w:val="single"/>
        </w:rPr>
        <w:t xml:space="preserve">A person is liable for damages resulting from a knowing or intentional dissemination of artificially generated media or a phishing communication for the purpose of financial exploitation.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court shall award a claimant who prevails in an action brought under this section: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actual damages, including damages for mental anguish and the defendant's profits attributable to the dissemination of the artificially generated media or phishing communication;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court costs and reasonable attorney's fees incurred in bringing the action.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court in which an action is brought under this section, on a motion of a claimant, may issue a temporary restraining order or a temporary or permanent injunction to restrain and prevent the further dissemination of artificially generated media or a phishing communication to the claimant.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may not be construed to impose liability, for content provided by another person, 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provider of an interactive computer service, as defined by 47 U.S.C. Section 230(f);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telecommunications service, as defined by 47 U.S.C. Section 153;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radio or television station licensed by the Federal Communications Commission.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CIVIL PENALTY FOR DISSEMINATION OF CERTAIN COMMUNICATIONS FOR FINANCIAL EXPLOITATION.  (a) </w:t>
      </w:r>
      <w:r>
        <w:rPr>
          <w:u w:val="single"/>
        </w:rPr>
        <w:t xml:space="preserve"> </w:t>
      </w:r>
      <w:r>
        <w:rPr>
          <w:u w:val="single"/>
        </w:rPr>
        <w:t xml:space="preserve">A person who knowingly or intentionally disseminates artificially generated media or a phishing communication for purposes of financial exploitation is subject to a civil penalty not to exceed $1,000 per day the media or communication is disseminated. </w:t>
      </w:r>
      <w:r>
        <w:rPr>
          <w:u w:val="single"/>
        </w:rPr>
        <w:t xml:space="preserve"> </w:t>
      </w:r>
      <w:r>
        <w:rPr>
          <w:u w:val="single"/>
        </w:rPr>
        <w:t xml:space="preserve">The attorney general may bring an action to collect the civil penalty.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action brought by the attorney general under this section shall be filed in a district court: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Travis County;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any county in which all or part of the events or omissions giving rise to the action occurred.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may not be construed to impose liability, for content provided by another person, 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provider of an interactive computer service, as defined by 47 U.S.C. Section 230(f);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telecommunications service, as defined by 47 U.S.C. Section 153;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radio or television station licensed by the Federal Communications Commission.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CONFIDENTIAL IDENTITY IN ACTION FOR DISSEMINATION OF CERTAIN COMMUNICATIONS.  (a)  In this section, "confidential identity" means: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use of a pseudonym;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absence of any other identifying information, including address, telephone number, and social security number.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an action brought under Section 100B.002 or 100B.003, the court shall: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notify the person who is the subject of the action as early as possible in the action that the person may use a confidential identity in relation to the action;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allow a person who is the subject of the action to use a confidential identity in all petitions, filings, and other documents presented to the court;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use the person's confidential identity in all of the court's proceedings and records relating to the action, including any appellate proceedings;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maintain the records relating to the action in a manner that protects the person's confidentiality.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an action brought under Section 100B.002 or 100B.003, only the following persons are entitled to know the true identifying information about the person who is the subject of the action: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court;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party to the action;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attorney representing a party to the action;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authorized by a written order of the court specific to that person.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court shall order that a person entitled to know the true identifying information under Subsection (c) may not divulge that information to anyone without a written order of the court. </w:t>
      </w:r>
      <w:r>
        <w:rPr>
          <w:u w:val="single"/>
        </w:rPr>
        <w:t xml:space="preserve"> </w:t>
      </w:r>
      <w:r>
        <w:rPr>
          <w:u w:val="single"/>
        </w:rPr>
        <w:t xml:space="preserve">The court shall hold a person who violates the order in contempt.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Notwithstanding Section 22.004, Government Code, the supreme court may not amend or adopt rules in conflict with this section.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(f)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is not required to use a confidential identity as provided by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D, Chapter 32, Penal Code, is amended by adding Section 32.56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32.56.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FINANCIAL ABUSE USING ARTIFICIALLY GENERATED MEDIA OR PHISHING.  (a)  In this section: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"Artificially generated media" has the meaning assigned by Section 100B.001, Civil Practice and Remedies Code.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"Financial abuse" has the meaning assigned by Section 32.55.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commits an offense if the person knowingly engages in financial abuse: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through the use of artificially generated media disseminated to another person;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by deceiving or manipulating another person into providing personal, financial, or identifying information through e-mail, electronic communication, or other digital means.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offense under this section is: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Class B misdemeanor if the value of the property taken, appropriated, obtained, retained, or used is less than $100;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Class A misdemeanor if the value of the property taken, appropriated, obtained, retained, or used is $100 or more but less than $750;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state jail felony if the value of the property taken, appropriated, obtained, retained, or used is $750 or more but less than $2,500;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felony of the third degree if the value of the property taken, appropriated, obtained, retained, or used is $2,500 or more but less than $30,000;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felony of the second degree if the value of the property taken, appropriated, obtained, retained, or used is $30,000 or more but less than $150,000;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felony of the first degree if the value of the property taken, appropriated, obtained, retained, or used is $150,000 or more.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does not apply, for content provided by another person,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provider of an interactive computer service, as defined by 47 U.S.C. Section 230(f);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telecommunications service, as defined by 47 U.S.C. Section 153;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radio or television station licensed by the Federal Communications Commission.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 100B.002, Civil Practice and Remedies Code, as added by this Act, applies only to a cause of action that accrues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>
      <w:r>
        <w:br w:type="page"/>
      </w:r>
    </w:p>
    <w:p w:rsidR="003F3435" w:rsidRDefault="0032493E">
      <w:pPr>
        <w:spacing w:line="480" w:lineRule="auto"/>
        <w:jc w:val="both"/>
      </w:pPr>
    </w:p>
    <w:p w:rsidR="003F3435" w:rsidRDefault="003F3435"/>
    <w:p w:rsidR="003F3435" w:rsidRDefault="003F3435"/>
    <w:p w:rsidR="003F3435" w:rsidRDefault="0032493E">
      <w:pPr>
        <w:jc w:val="center"/>
      </w:pPr>
      <w:r>
        <w:t xml:space="preserve">______________________________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______________________________</w:t>
      </w:r>
      <w:br w:type="text-wrapping" w:clear="all"/>
      <w:r>
        <w:t xml:space="preserve">President of the Senate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Speaker of the House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2373 passed the Senate on May</w:t>
      </w:r>
      <w:r xml:space="preserve">
        <w:t> </w:t>
      </w:r>
      <w:r>
        <w:t xml:space="preserve">8,</w:t>
      </w:r>
      <w:r xml:space="preserve">
        <w:t> </w:t>
      </w:r>
      <w:r>
        <w:t xml:space="preserve">2025, by the following vote:  Yeas</w:t>
      </w:r>
      <w:r xml:space="preserve">
        <w:t> </w:t>
      </w:r>
      <w:r>
        <w:t xml:space="preserve">31, Nays</w:t>
      </w:r>
      <w:r xml:space="preserve">
        <w:t> </w:t>
      </w:r>
      <w:r>
        <w:t xml:space="preserve">0; and that the Senate concurred in House amendment on May 31, 2025, by the following vote:  Yeas</w:t>
      </w:r>
      <w:r xml:space="preserve">
        <w:t> </w:t>
      </w:r>
      <w:r>
        <w:t xml:space="preserve">31, Nays</w:t>
      </w:r>
      <w:r xml:space="preserve">
        <w:t> </w:t>
      </w:r>
      <w:r>
        <w:t xml:space="preserve">0.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Secretary of the Senate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2373 passed the House, with amendment, on May</w:t>
      </w:r>
      <w:r xml:space="preserve">
        <w:t> </w:t>
      </w:r>
      <w:r>
        <w:t xml:space="preserve">28,</w:t>
      </w:r>
      <w:r xml:space="preserve">
        <w:t> </w:t>
      </w:r>
      <w:r>
        <w:t xml:space="preserve">2025, by the following vote:  Yeas</w:t>
      </w:r>
      <w:r xml:space="preserve">
        <w:t> </w:t>
      </w:r>
      <w:r>
        <w:t xml:space="preserve">138, Nays</w:t>
      </w:r>
      <w:r xml:space="preserve">
        <w:t> </w:t>
      </w:r>
      <w:r>
        <w:t xml:space="preserve">0, two present not voting.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Chief Clerk of the House</w:t>
      </w:r>
    </w:p>
    <w:p w:rsidR="003F3435" w:rsidRDefault="003F3435"/>
    <w:p w:rsidR="003F3435" w:rsidRDefault="003F3435"/>
    <w:p w:rsidR="003F3435" w:rsidRDefault="0032493E">
      <w:pPr>
        <w:jc w:val="left"/>
      </w:pPr>
      <w:r>
        <w:t xml:space="preserve">Approved:</w:t>
      </w:r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Date</w:t>
      </w:r>
      <w:br w:type="text-wrapping" w:clear="all"/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Governor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2373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