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2025S0218-1  03/12/25</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Johnson</w:t>
      </w:r>
      <w:r xml:space="preserve">
        <w:tab wTab="150" tlc="none" cTlc="0"/>
      </w:r>
      <w:r>
        <w:t xml:space="preserve">S.B.</w:t>
      </w:r>
      <w:r xml:space="preserve">
        <w:t> </w:t>
      </w:r>
      <w:r>
        <w:t xml:space="preserve">No.</w:t>
      </w:r>
      <w:r xml:space="preserve">
        <w:t> </w:t>
      </w:r>
      <w:r>
        <w:t xml:space="preserve">2373</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financial exploitation or abuse of persons using artificially generated media or phishing communications; providing a civil penalty; creating a criminal offense.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Title 4, Civil Practice and Remedies Code, is amended by adding Chapter 100B to read as follows:</w:t>
      </w:r>
    </w:p>
    <w:p w:rsidR="003F3435" w:rsidRDefault="0032493E">
      <w:pPr>
        <w:spacing w:line="480" w:lineRule="auto"/>
        <w:jc w:val="center"/>
      </w:pPr>
      <w:r>
        <w:rPr>
          <w:u w:val="single"/>
        </w:rPr>
        <w:t xml:space="preserve">CHAPTER 100B.  LIABILITY FOR FINANCIAL EXPLOITATION OF PERSONS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100B.001.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"Artificial intelligence" means a machine-based system that can, for a given set of human-defined objectives, make predictions, recommendations, or decisions that influence real or virtual environments.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"Artificially generated media" means an image, an audio recording, a video recording, a radio broadcast, or written text created or modified using artificial intelligence or other computer software with the intent to deceive.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"Exploitation" and "financial exploitation" have the meanings assigned by Section 281.001, Finance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"Phishing communication" means an attempt to deceive or manipulate a person into providing personal, financial, or identifying information through e-mail, electronic communication, or other digital means.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100B.002.</w:t>
      </w:r>
      <w:r>
        <w:rPr>
          <w:u w:val="single"/>
        </w:rPr>
        <w:t xml:space="preserve"> </w:t>
      </w:r>
      <w:r>
        <w:rPr>
          <w:u w:val="single"/>
        </w:rPr>
        <w:t xml:space="preserve"> </w:t>
      </w:r>
      <w:r>
        <w:rPr>
          <w:u w:val="single"/>
        </w:rPr>
        <w:t xml:space="preserve">CAUSE OF ACTION FOR DISSEMINATION OF CERTAIN COMMUNICATIONS FOR FINANCIAL EXPLOITATION.  (a)  A person is liable for damages resulting from a knowing dissemination of artificially generated media or a phishing communication for the purpose of financial exploitation.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court shall award a claimant who prevails in an action brought under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actual damages, including damages for mental anguish and the defendant's profits attributable to the dissemination of the artificially generated media or phishing communication;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court costs and reasonable attorney's fees incurred in bringing the action.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court in which an action is brought under this section, on a motion of a claimant, may issue a temporary restraining order or a temporary or permanent injunction to restrain and prevent the further dissemination of artificially generated media or a phishing communication to the claimant.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It is a defense to liability under this section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dissemination occurred as part of a lawful criminal investigation;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artificially generated media contains a disclosure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states that the media has been altered using artificial intelligence or other computer software;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 a recording or broadcast, occurs at the beginning of or reasonably within the recording or broadcast;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for an image or written text, is clearly legible.</w:t>
      </w:r>
    </w:p>
    <w:p w:rsidR="003F3435" w:rsidRDefault="0032493E">
      <w:pPr>
        <w:spacing w:line="480" w:lineRule="auto"/>
        <w:ind w:firstLine="720"/>
        <w:jc w:val="both"/>
      </w:pPr>
      <w:r>
        <w:rPr>
          <w:u w:val="single"/>
        </w:rPr>
        <w:t xml:space="preserve">Sec.</w:t>
      </w:r>
      <w:r>
        <w:rPr>
          <w:u w:val="single"/>
        </w:rPr>
        <w:t xml:space="preserve"> </w:t>
      </w:r>
      <w:r>
        <w:rPr>
          <w:u w:val="single"/>
        </w:rPr>
        <w:t xml:space="preserve">100B.003.</w:t>
      </w:r>
      <w:r>
        <w:rPr>
          <w:u w:val="single"/>
        </w:rPr>
        <w:t xml:space="preserve"> </w:t>
      </w:r>
      <w:r>
        <w:rPr>
          <w:u w:val="single"/>
        </w:rPr>
        <w:t xml:space="preserve"> </w:t>
      </w:r>
      <w:r>
        <w:rPr>
          <w:u w:val="single"/>
        </w:rPr>
        <w:t xml:space="preserve">CIVIL PENALTY FOR DISSEMINATION OF CERTAIN COMMUNICATIONS FOR FINANCIAL EXPLOITATION.  (a)  A person who knowingly disseminates artificially generated media or a phishing communication for purposes of financial exploitation is subject to a civil penalty not to exceed $1,000 per day the media or communication is disseminated.  The attorney general may bring an action to collect the civil penalty.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It is a defense to liability for a civil penalty imposed under this section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dissemination occurred as part of a lawful criminal investigation;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artificially generated media contains a disclosure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states that the media has been altered using artificial intelligence or other computer software;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 a recording or broadcast, occurs at the beginning of or reasonably within the recording or broadcast;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for an image or written text, is clearly legible.</w:t>
      </w:r>
    </w:p>
    <w:p w:rsidR="003F3435" w:rsidRDefault="0032493E">
      <w:pPr>
        <w:spacing w:line="480" w:lineRule="auto"/>
        <w:ind w:firstLine="720"/>
        <w:jc w:val="both"/>
      </w:pPr>
      <w:r>
        <w:rPr>
          <w:u w:val="single"/>
        </w:rPr>
        <w:t xml:space="preserve">Sec.</w:t>
      </w:r>
      <w:r>
        <w:rPr>
          <w:u w:val="single"/>
        </w:rPr>
        <w:t xml:space="preserve"> </w:t>
      </w:r>
      <w:r>
        <w:rPr>
          <w:u w:val="single"/>
        </w:rPr>
        <w:t xml:space="preserve">100B.004.</w:t>
      </w:r>
      <w:r>
        <w:rPr>
          <w:u w:val="single"/>
        </w:rPr>
        <w:t xml:space="preserve"> </w:t>
      </w:r>
      <w:r>
        <w:rPr>
          <w:u w:val="single"/>
        </w:rPr>
        <w:t xml:space="preserve"> </w:t>
      </w:r>
      <w:r>
        <w:rPr>
          <w:u w:val="single"/>
        </w:rPr>
        <w:t xml:space="preserve">CONFIDENTIAL IDENTITY IN ACTION FOR DISSEMINATION OF CERTAIN COMMUNICATIONS.  (a)  In this section, "confidential identity" means: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use of a pseudonym;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absence of any other identifying information, including address, telephone number, and social security number.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an action brought under Section 100B.002 or 100B.003, the court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notify the person who is the subject of the action as early as possible in the action that the person may use a confidential identity in relation to the action;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allow a person who is the subject of the action to use a confidential identity in all petitions, filings, and other documents presented to the court;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use the person's confidential identity in all of the court's proceedings and records relating to the action, including any appellate proceedings;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maintain the records relating to the action in a manner that protects the person's confidentiality.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an action brought under Section 100B.002 or 100B.003, only the following persons are entitled to know the true identifying information about the person who is the subject of the action: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court;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party to the action;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attorney representing a party to the action;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person authorized by a written order of the court specific to that person.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court shall order that a person entitled to know the true identifying information under Subsection (c) may not divulge that information to anyone without a written order of the court.  The court shall hold a person who violates the order in contempt.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Section 22.004, Government Code, the supreme court may not amend or adopt rules in conflict with this section.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person is not required to use a confidential identity as provided by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32.55(e), Penal Code, is amended to read as follows:</w:t>
      </w:r>
    </w:p>
    <w:p w:rsidR="003F3435" w:rsidRDefault="0032493E">
      <w:pPr>
        <w:spacing w:line="480" w:lineRule="auto"/>
        <w:ind w:firstLine="720"/>
        <w:jc w:val="both"/>
      </w:pPr>
      <w:r>
        <w:t xml:space="preserve">(e)</w:t>
      </w:r>
      <w:r xml:space="preserve">
        <w:t> </w:t>
      </w:r>
      <w:r xml:space="preserve">
        <w:t> </w:t>
      </w:r>
      <w:r>
        <w:t xml:space="preserve">A person who is subject to prosecution under both this section and another section of this code may be prosecuted under either section or both sections</w:t>
      </w:r>
      <w:r>
        <w:rPr>
          <w:u w:val="single"/>
        </w:rPr>
        <w:t xml:space="preserve">, except that the actor may not be prosecuted under both this section and Section 32.56</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D, Chapter 32, Penal Code, is amended by adding Section 32.56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32.56.</w:t>
      </w:r>
      <w:r>
        <w:rPr>
          <w:u w:val="single"/>
        </w:rPr>
        <w:t xml:space="preserve"> </w:t>
      </w:r>
      <w:r>
        <w:rPr>
          <w:u w:val="single"/>
        </w:rPr>
        <w:t xml:space="preserve"> </w:t>
      </w:r>
      <w:r>
        <w:rPr>
          <w:u w:val="single"/>
        </w:rPr>
        <w:t xml:space="preserve">FINANCIAL ABUSE USING ARTIFICIALLY GENERATED MEDIA OR PHISHING.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"Artificially generated media" and "artificial intelligence" have the meanings assigned by Section 100B.001, Civil Practice and Remedies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"Financial abuse" has the meaning assigned by Section 32.55.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commits an offense if the person knowingly engages in financial abuse: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through the use of artificially generated media disseminated to another person;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by deceiving or manipulating another person into providing personal, financial, or identifying information through e-mail, electronic communication, or other digital means.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It is a defense to prosecution under this section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conduct was performed by an officer or employee of a law enforcement agency in the course and scope of a criminal investigation;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artificially generated media contains a disclosure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states that the media has been altered using artificial intelligence or other computer software;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 a video or audio recording, occurs at the beginning of the recording;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for an image or written text, appears in an easily readable font size.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offense under this section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Class B misdemeanor if the value of the property taken, appropriated, obtained, retained, or used is less than $100;</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Class A misdemeanor if the value of the property taken, appropriated, obtained, retained, or used is $100 or more but less than $750;</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state jail felony if the value of the property taken, appropriated, obtained, retained, or used is $750 or more but less than $2,500;</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felony of the third degree if the value of the property taken, appropriated, obtained, retained, or used is $2,500 or more but less than $30,000;</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felony of the second degree if the value of the property taken, appropriated, obtained, retained, or used is $30,000 or more but less than $150,000;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 felony of the first degree if the value of the property taken, appropriated, obtained, retained, or used is $150,000 or more.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conduct constituting an offense under this section also constitutes an offense under another section of this code, the actor may be prosecuted under either section or under both sections, except that the actor may not be prosecuted under both this section and Section 32.55.</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100B.002, Civil Practice and Remedies Code, as added by this Act, applies only to a cause of action that accrues on or after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2373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