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2373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12,</w:t>
      </w:r>
      <w:r xml:space="preserve">
        <w:t> </w:t>
      </w:r>
      <w:r>
        <w:t xml:space="preserve">2025; March</w:t>
      </w:r>
      <w:r xml:space="preserve">
        <w:t> </w:t>
      </w:r>
      <w:r>
        <w:t xml:space="preserve">25,</w:t>
      </w:r>
      <w:r xml:space="preserve">
        <w:t> </w:t>
      </w:r>
      <w:r>
        <w:t xml:space="preserve">2025, read first time and referred to Committee on Criminal Justice; May</w:t>
      </w:r>
      <w:r xml:space="preserve">
        <w:t> </w:t>
      </w:r>
      <w:r>
        <w:t xml:space="preserve">5,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7, Nays 0; May</w:t>
      </w:r>
      <w:r xml:space="preserve">
        <w:t> </w:t>
      </w:r>
      <w:r>
        <w:t xml:space="preserve">5,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Flores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Hidalgo 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Huffman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2373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Flores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financial exploitation or financial abuse using artificially generated media or phishing communications; providing a civil penalty;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 LIABILITY FOR FINANCIAL EXPLOITATION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 intelligence" means a machine-based system that can, for a given set of explicit or implicit objectives, make predictions, recommendations, or decisions that influence real or virtual environments.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means an image, an audio file, a video file, a radio broadcast, written text, or other media created or modified using artificial intelligence or other computer software with the intent to deceive.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"Exploitation" and "financial exploitation" have the meanings assigned by Section 281.001, Finance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"Phishing communication" means an attempt to deceive or manipulate a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CAUSE OF ACTION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is liable for damages resulting from a knowing or intentional dissemination of artificially generated media or a phishing communication for the purpose of financial exploitation.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shall award a claimant who prevails in an action brought under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mental anguish and the defendant's profits attributable to the dissemination of the artificially generated media or phishing communication;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 and reasonable attorney's fees incurred in bringing the action.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in which an action is brought under this section, on a motion of a claimant, may issue a temporary restraining order or a temporary or permanent injunction to restrain and prevent the further dissemination of artificially generated media or a phishing communication to the claimant.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 on the provider of an interactive computer service, as defined by 47 U.S.C. Section 230(f), or a telecommunications service, as defined by 47 U.S.C. Section 153, for content provided by another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CIVIL PENALTY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who knowingly or intentionally disseminates artificially generated media or a phishing communication for purposes of financial exploitation is subject to a civil penalty not to exceed $1,000 per day the media or communication is disseminated. </w:t>
      </w:r>
      <w:r>
        <w:rPr>
          <w:u w:val="single"/>
        </w:rPr>
        <w:t xml:space="preserve"> </w:t>
      </w:r>
      <w:r>
        <w:rPr>
          <w:u w:val="single"/>
        </w:rPr>
        <w:t xml:space="preserve">The attorney general may bring an action to collect the civil penalty.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brought by the attorney general under this section shall be filed in a district court: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Travis County;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any county in which all or part of the events or omissions giving rise to the action occurred.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 on the provider of an interactive computer service, as defined by 47 U.S.C. Section 230(f), or a telecommunications service, as defined by 47 U.S.C. Section 153, for content provided by another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CONFIDENTIAL IDENTITY IN ACTION FOR DISSEMINATION OF CERTAIN COMMUNICATIONS.  (a)  In this section, "confidential identity" means: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use of a pseudonym;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absence of any other identifying information, including address, telephone number, and social security number.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the court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notify the person who is the subject of the action as early as possible in the action that the person may use a confidential identity in relation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allow a person who is the subject of the action to use a confidential identity in all petitions, filings, and other documents presented to 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the person's confidential identity in all of the court's proceedings and records relating to the action, including any appellate proceedings;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maintain the records relating to the action in a manner that protects the person's confidentiality.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only the following persons are entitled to know the true identifying information about the person who is the subject of the action: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party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attorney representing a party to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authorized by a written order of the court specific to that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 shall order that a person entitled to know the true identifying information under Subsection (c) may not divulge that information to anyone without a written order of the court. </w:t>
      </w:r>
      <w:r>
        <w:rPr>
          <w:u w:val="single"/>
        </w:rPr>
        <w:t xml:space="preserve"> </w:t>
      </w:r>
      <w:r>
        <w:rPr>
          <w:u w:val="single"/>
        </w:rPr>
        <w:t xml:space="preserve">The court shall hold a person who violates the order in contempt.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22.004, Government Code, the supreme court may not amend or adopt rules in conflict with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is not required to use a confidential identity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32, Penal Code, is amended by adding Section 32.56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32.56.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FINANCIAL ABUSE USING ARTIFICIALLY GENERATED MEDIA OR PHISHING.  (a)  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has the meaning assigned by Section 100B.001, Civil Practice and Remedies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"Financial abuse" has the meaning assigned by Section 32.55.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knowingly engages in financial abuse: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through the use of artificially generated media disseminated to another person;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by deceiving or manipulating another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B misdemeanor if the value of the property taken, appropriated, obtained, retained, or used is less than $100;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A misdemeanor if the value of the property taken, appropriated, obtained, retained, or used is $100 or more but less than $750;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state jail felony if the value of the property taken, appropriated, obtained, retained, or used is $750 or more but less than $2,500;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 the value of the property taken, appropriated, obtained, retained, or used is $2,500 or more but less than $30,000;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second degree if the value of the property taken, appropriated, obtained, retained, or used is $30,000 or more but less than $150,000;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 the value of the property taken, appropriated, obtained, retained, or used is $150,000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apply to the provider of an interactive computer service, as defined by 47 U.S.C. Section 230(f), or a telecommunications service, as defined by 47 U.S.C. Section 153, for content provided by another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100B.002, Civil Practice and Remedies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2373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