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Campbell,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2398</w:t>
      </w:r>
    </w:p>
    <w:p w:rsidR="003F3435" w:rsidRDefault="0032493E">
      <w:pPr>
        <w:ind w:firstLine="720"/>
        <w:jc w:val="both"/>
      </w:pPr>
      <w:r>
        <w:t xml:space="preserve">(Cunningham)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policies and procedures related to concussions or other brain injuries sustained by public school students.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38, Education Code, is amended by adding Section 38.0051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38.0051.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ACADEMIC ACCOMMODATIONS FOR STUDENT WITH CONCUSSION OR OTHER BRAIN INJURY.  (a)  The agency shall develop a list of nonmedical academic accommodations a school district may offer to a student diagnosed with a concussion or other brain injury.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agency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develop a form for use by school districts describing the accommodations a district may offer under this section;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make the form developed under Subdivision (1) available on the agency's Internet website for use by school districts, district educators or administrators, students, and parents or guardians.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school district that provides accommodations under this section must make the form developed under Subsection (b) available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district employee as soon as practicable after receiving: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notice that a student enrolled in the district has been diagnosed with a concussion or other brain injury;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request from the employee;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student enrolled in the district or the student's parent or guardian as soon as practicable after receiving: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notice that the student has been diagnosed with a concussion or other brain injury;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request from the student or parent or guardian.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may not be construed to require a school district to provide any accommodations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Chapter 38, Education Code, is amended by adding Subchapter D-1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D-1. </w:t>
      </w:r>
      <w:r>
        <w:rPr>
          <w:u w:val="single"/>
        </w:rPr>
        <w:t xml:space="preserve"> </w:t>
      </w:r>
      <w:r>
        <w:rPr>
          <w:u w:val="single"/>
        </w:rPr>
        <w:t xml:space="preserve">TREATMENT OF CONCUSSIONS AFFECTING STUDENTS OTHER THAN STUDENT ATHLETES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38.171.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DEFINITION.  In this subchapter, "concussion" has the meaning assigned by Section 38.151.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38.172.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APPLICABILITY.  This subchapter does not apply to a concussion believed to have been sustained by a student while participating in an interscholastic athletic activity described by Section 38.152.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38.173.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CONCUSSION RESPONSE POLICY.  (a) </w:t>
      </w:r>
      <w:r>
        <w:rPr>
          <w:u w:val="single"/>
        </w:rPr>
        <w:t xml:space="preserve"> </w:t>
      </w:r>
      <w:r>
        <w:rPr>
          <w:u w:val="single"/>
        </w:rPr>
        <w:t xml:space="preserve">A school district shall adopt and implement a policy regarding how to respond to a concussion believed to have been sustained by a student while on school property or participating in a school-sponsored or school-related activity on or off school property.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policy adopted under Subsection (a) must provide for: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immediate removal of a student from a school-sponsored or school-related activity if a school district employee or volunteer believes the student might have sustained a concussion;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notice to the student's parent or guardian or another person with legal authority to make medical decisions for the student of the student's suspected concussion and removal under Subdivision (1);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student's return to a school-sponsored or school-related activity only after the requirements under Section 38.157(a) have been satisfied.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2025-2026 school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2398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