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Paxton</w:t>
      </w:r>
      <w:r xml:space="preserve">
        <w:tab wTab="150" tlc="none" cTlc="0"/>
      </w:r>
      <w:r>
        <w:t xml:space="preserve">S.B.</w:t>
      </w:r>
      <w:r xml:space="preserve">
        <w:t> </w:t>
      </w:r>
      <w:r>
        <w:t xml:space="preserve">No.</w:t>
      </w:r>
      <w:r xml:space="preserve">
        <w:t> </w:t>
      </w:r>
      <w:r>
        <w:t xml:space="preserve">2419</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a special district to exercise certain powers and duties following municipal disannexation of certain areas.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43.1463, Local Government Code, is amended by adding Subsection (f-1) to read as follows:</w:t>
      </w:r>
    </w:p>
    <w:p w:rsidR="003F3435" w:rsidRDefault="0032493E">
      <w:pPr>
        <w:spacing w:line="480" w:lineRule="auto"/>
        <w:ind w:firstLine="720"/>
        <w:jc w:val="both"/>
      </w:pPr>
      <w:r>
        <w:rPr>
          <w:u w:val="single"/>
        </w:rPr>
        <w:t xml:space="preserve">(f-1)</w:t>
      </w:r>
      <w:r>
        <w:rPr>
          <w:u w:val="single"/>
        </w:rPr>
        <w:t xml:space="preserve"> </w:t>
      </w:r>
      <w:r>
        <w:rPr>
          <w:u w:val="single"/>
        </w:rPr>
        <w:t xml:space="preserve"> </w:t>
      </w:r>
      <w:r>
        <w:rPr>
          <w:u w:val="single"/>
        </w:rPr>
        <w:t xml:space="preserve">A limited district that was created by the conversion of a special district under a strategic partnership agreement and is located in and serving an area that is disannexed under this section may exercise all powers and duties granted to the former special district by law in the portion of the disannexed area located in the district, notwithstanding the strategic partnership agreement or other agreement executed by the district and the disannexing municipality before the disannexation.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2419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