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89R14269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2428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diagnosis, maintenance, and repair of certain digital electronic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DIAGNOSIS, MAINTENANCE, AND REPAIR OF CERTAIN DIGITAL ELECTRONIC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repair provider" means an individual or business entity who has an arrangement with the original equipment manufacturer for a definite or indefinite period under which the original equipment manufacturer grants to the individual or business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to use a trade name, service mark, or other proprietary identifier for the purpose of offering diagnosis, maintenance, or repair services for digital electronic equipment under the name of the original equipment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authority to offer diagnosis, maintenance, or repair services for digital electronic equipment on behalf of the original equipment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enters into a transaction primarily for personal, family, or household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"Diagnosis" means the process of identifying the issue or issues that cause digital electronic equipment to not be in full working order.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electronic equipment" or "equipment"</w:t>
      </w:r>
      <w:r>
        <w:rPr>
          <w:u w:val="single"/>
        </w:rPr>
        <w:t xml:space="preserve"> </w:t>
      </w:r>
      <w:r>
        <w:rPr>
          <w:u w:val="single"/>
        </w:rPr>
        <w:t xml:space="preserve">means any product that depends, wholly or partly, on digital electronics embedded in or attached to the product to function.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"Documentation" means any manual, diagram, reporting 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"Fair and reasonable terms"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 making available a tool, making the tool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tool is requested in physical form, for a charge equal to the actual cost of procuring, preparing, and sending the tool;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original equipment manufacturer making available a replacement part, making the part available either directly or through an authorized distributor or repair provider, subject to Section 121.052(7)(B):</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costs and terms that are equivalent to the costs and terms under which the part is offered to an authorized repair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respect to an original equipment manufacturer making available documentation, including any relevant updates to the documentation, making the documentation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except that an original equipment manufacturer may charge the reasonable actual cost of preparing and sending a copy of the documentation when the documentation is requested in physical printed form;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with respect to documentation, replacement parts, or tools, terms that are fair to all parties, including the original equipment manufacturer and authorized repair providers.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"Independent repair provider" means an individual or business entity operating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affiliated with an individual or business entity that is an authorized repair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engaged in the diagnosis, maintenance, or repair of digital electronic equipment.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"Maintenance" means any act necessary to keep currently working digital electronic equipment in full working order.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"Medical device" means a device, as defined by 21 U.S.C. Section 321(h)(1), intended for use in the diagnosis of disease or other conditions, or in the cure, mitigation, treatment, or prevention of disease, in humans or other animals.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"Modification" or "modify" means any alteration to digital electronic equipment that is not maintenance and not a repair.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"Motor vehicle" means a vehicle that is designed for transporting individuals or property on a street or highway and is certified by the manufacturer under all applicable motor vehicle federal safety and emissions standards and requirements for distribution and sale in the United States.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"Motor vehicle manufacturer" means a business engaged in the manufacturing or assembling of motor vehicles.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"Original equipment manufacturer" means a business entity that, in the normal course of business, is engaged in the business of selling, leasing, or otherwise supplying new digital electronic equipment manufactured by or on behalf of the business entity.</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"Owner" means an individual or business entity that owns digital electronic equipment.</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"Repair" means any act necessary to restore digital electronic equipment or equipment to full working order.  The term does not include post-sale modifications that alter the originally intended functioning of the digital electronic equipment.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"Replacement part" means a new or used replacement part made available by the original equipment manufacturer for the purpose of maintenance or repair of digital electronic equipment manufactured, sold, or supplied by the original equipment manufacturer. </w:t>
      </w:r>
      <w:r>
        <w:rPr>
          <w:u w:val="single"/>
        </w:rPr>
        <w:t xml:space="preserve"> </w:t>
      </w:r>
      <w:r>
        <w:rPr>
          <w:u w:val="single"/>
        </w:rPr>
        <w:t xml:space="preserve">The term does not include printed circuit board assemblies that may allow device cloning in violation of 18 U.S.C. Section 1029 or other applicable law.</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"Tool" means any software program, hardware implement, or other apparatus used for the diagnosis, maintenance, or repair of digital electronic equipment, including software or another mechanism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programs, or pairs a part;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calibrates functionality;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any other function required to restore the equipment to full working order.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"Trade secret" means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that falls within the meaning of a trade secret given in 18 U.S.C. Section 1839.</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Except as provided by Subsection (b), this chapter applies only to digital electronic equipment: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sold at retail to a consumer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a wholesale price of at least $50;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in need of a repair not covered under the original equipment manufacturer's warranty.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technology equipment that is intended for use in critical infrastructure as defined by 42 U.S.C. Section 5195c(e);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motor vehicle manufacturer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medical device or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in a medical setting, including diagnostic, monitoring, or control equipment;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purchase or prescribed by a health care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manufacturer of farm equipment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aerospace, airplane, or train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home appliance that has digital electronic equipment embedded within it, including refrigerators, ovens, microwaves, air conditioning units, heating units, motorized shades, lighting control systems, and security devices or alarm systems, including any related software and components;</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safety communications equipment, the intended use of which is for emergency response or prevention purposes by an emergency service organization, such as a police, fire, or medical and emergency rescue services agency;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digital electronic equipment sold in a transaction involving only business or governmental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WAIVER OF CHAPTER VOID AND UNENFORCEABLE.  A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3F3435" w:rsidRDefault="0032493E">
      <w:pPr>
        <w:spacing w:line="480" w:lineRule="auto"/>
        <w:jc w:val="center"/>
      </w:pPr>
      <w:r>
        <w:rPr>
          <w:u w:val="single"/>
        </w:rPr>
        <w:t xml:space="preserve">SUBCHAPTER B. </w:t>
      </w:r>
      <w:r>
        <w:rPr>
          <w:u w:val="single"/>
        </w:rPr>
        <w:t xml:space="preserve"> </w:t>
      </w:r>
      <w:r>
        <w:rPr>
          <w:u w:val="single"/>
        </w:rPr>
        <w:t xml:space="preserve">ORIGINAL EQUIPMENT MANUFACTURER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ORIGINAL EQUIPMENT MANUFACTURER REQUIREMENTS.  (a)  For digital electronic equipment, including parts for that equipment sold or used in this state, the original equipment manufacturer of the equipment or part shall, not later than one year after the date of the first sale of the digital electronic equipment in this state, 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documentation, replacement parts, and tools described by Subsection (a) may be made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by an original equipment manufacturer or through an authorized repair provider or an authorized third-party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 require a third-party provider, including an authorized repair provider, to make available documentation, replacement parts, or tools independent of an original equipment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CONSTRUCTION OF SUBCHAPTER.  Notwithstanding any other provision of this subchapter, nothing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an original equipment manufacturer to provide or make available documentation, a replacement part, or a tool to a repair provider or owner,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documentation, part, or tool is not, or is no longer, provided by the original equipment manufacturer or made available to authorized repair providers of the original equipment manufacturer, including where the original equipment manufacturer performs related repairs solely in-house or through a corporate affiliate;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documentation, part, or tool, is no longer available to the original equipment manufacturer;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or tool is used by the original manufacturer only to perform, at no cost, diagnostic services virtually through telephone, Internet, chat, e-mail, or other similar means that do not involve the manufacturer physically handling the consumer's equipment, unless the manufacturer also makes the documentation or tool available to an individual or business that is unaffiliated with the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an original equipment manufacturer to divulge any trade secret to any independent repair provider or owner, except as necessary for the diagnosis, maintenance, or repair of digital electronic equipment in accordance with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 original equipment manufacturer or an authorized repair provider to provide an independent repair provider or owner any information other than documentation that is provided by the original equipment manufacturer to an authorized repair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an original equipment manufacturer or authorized repair provider to make available any documentation, part, or tool for the purposes of modifying digital electronic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any original equipment manufacturer or authorized repair provider to make available any documentation, part, or tool in a manner that is inconsistent with or in violation of any state or federal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set by the owner of the digital electronic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original equipment manufacturer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requiring remote authorization or an Internet connection before an independent repair provider or owner may use a part or tool;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requires an original equipment manufacturer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documentation, a part, or a tool for a product where reconditioning or repair of the product is prohibited by a law or regulation;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or make available source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make available a special document, a part, or a tool that would disable or override an anti-theft security measure set by the owner of the digital electronic equipment without the owner's authorization;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documentation, a part, or a tool for repair of digital electronic equipment critical to the safety of life or health of individuals, or for repairs that could threaten the safety of life or health of individuals, including repairs to digital electronic equipment with internal switch-mode power supplies;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documentation or a tool used exclusively by the original equipment manufacturer for diagnosis, maintenance, or repairs completed by machines that operate on several digital electronic equipment products simultaneously or otherwise for purposes of large scale efficiency, provided the original equipment manufacturer makes available to an independent repair provider or owner a sufficient alternative documentation or tool to effect the diagnosis, maintenance, or repair of the digital electronic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ALTERNATIVE RELIEF FOR ORIGINAL PURCHASERS.  Instead of making documentation, replacement parts, or tools available under this subchapter, the original equipment manufacturer may provide an owner who is the original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reimbursement in the amount of the purchase price the purchaser paid for the digital electronic equipment;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equivalent or better, readily available replacement for the digital electronic equipment at a price that has a value that is equal to or less than the total cost of the sum of the replacement parts.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LIMITATION OF LIABILITY.  (a)  An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indirect, incidental, special, or consequential damages;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loss of data, privacy, or profits;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inability to use or reduced functionality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original equipment manufacturer is not liable under this chapter for any act that is reasonably necessary to protect user privacy, security, or digital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original equipment manufacturer is not liable for improper use of personal data or any data privacy or security breach in connection with the repair, diagnosis, maintenance, or modification performed by an independent repair provider or owner.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NOTICE OF VIOLATION; OPPORTUNITY TO CURE.  (a)  The attorney general has exclusive authority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bringing an action under Section 121.102 or 121.103, the attorney general shall notify a person in writing at least 30 days before the date the attorney general brings the action.  The notice must identify the specific provisions of this chapter that the attorney general alleges have been or are being violated.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bring an action against a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30-day period described by Subsection (b), the person cures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provides the attorney general a written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cured the alleged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the person's intent that no further violations of this chapter will occur.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Written notice by the attorney general shall be delivered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certified mail, return receipt requested;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first-class mail with proof of delivery.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following the cure period described by Section 121.101 is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121.103.</w:t>
      </w:r>
      <w:r>
        <w:rPr>
          <w:u w:val="single"/>
        </w:rPr>
        <w:t xml:space="preserve"> </w:t>
      </w:r>
      <w:r>
        <w:rPr>
          <w:u w:val="single"/>
        </w:rPr>
        <w:t xml:space="preserve"> </w:t>
      </w:r>
      <w:r>
        <w:rPr>
          <w:u w:val="single"/>
        </w:rPr>
        <w:t xml:space="preserve">INJUNCTION.  (a)  The attorney general may bring an action in the name of the state following the cure period described by Section 121.101 to restrain or enjoin a person from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121.104.</w:t>
      </w:r>
      <w:r>
        <w:rPr>
          <w:u w:val="single"/>
        </w:rPr>
        <w:t xml:space="preserve"> </w:t>
      </w:r>
      <w:r>
        <w:rPr>
          <w:u w:val="single"/>
        </w:rPr>
        <w:t xml:space="preserve"> </w:t>
      </w:r>
      <w:r>
        <w:rPr>
          <w:u w:val="single"/>
        </w:rPr>
        <w:t xml:space="preserve">NO PRIVATE RIGHT OF ACTION.  This chapter may not be construed to create, provide a basis for, or be subject to a private right of action for a violation of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121, Business &amp; Commerce Code, as added by this Act, applies only to digital electronic equipment that was originally made available for sale in this state by an original equipment manufacturer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the provision of the agreement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