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2431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foreign language credit opportunities for students enrolled in study abroad programs offered by certain institutions of higher education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51, Education Code, is amended by adding Section 51.313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51.313.</w:t>
      </w:r>
      <w:r>
        <w:rPr>
          <w:u w:val="single"/>
        </w:rPr>
        <w:t xml:space="preserve"> </w:t>
      </w:r>
      <w:r>
        <w:rPr>
          <w:u w:val="single"/>
        </w:rPr>
        <w:t xml:space="preserve"> </w:t>
      </w:r>
      <w:r>
        <w:rPr>
          <w:u w:val="single"/>
        </w:rPr>
        <w:t xml:space="preserve">STUDY ABROAD: FOREIGN LANGUAGE PROFICIENCY.  (a)  In this section, "institution of higher education" and "private or independent institution of higher education" have the meanings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the purpose of providing the opportunity for students to gain proficiency in a foreign language, an institution of higher education or a private or independent institution of higher education that, through any baccalaureate degree program, offers a study abroad program in a location where a language other than English is primarily spoken shall provide an option that allows a student enrolled in the study abroad program to earn foreign language credit as part of that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Higher Education Coordinating Board may establish procedures and adopt rules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51.313,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