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2431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requiring foreign language credit opportunities for students enrolled in study abroad components or programs offered by certain institutions of higher education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51, Education Code, is amended by adding Section 51.313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51.313.</w:t>
      </w:r>
      <w:r>
        <w:rPr>
          <w:u w:val="single"/>
        </w:rPr>
        <w:t xml:space="preserve"> </w:t>
      </w:r>
      <w:r>
        <w:rPr>
          <w:u w:val="single"/>
        </w:rPr>
        <w:t xml:space="preserve"> </w:t>
      </w:r>
      <w:r>
        <w:rPr>
          <w:u w:val="single"/>
        </w:rPr>
        <w:t xml:space="preserve">STUDY ABROAD: FOREIGN LANGUAGE PROFICIENCY.  (a)  In this section, "institution of higher education" has the meaning assigned by Section 61.003.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the purpose of providing the opportunity for students to gain proficiency in a foreign language, an institution of higher education that, through any baccalaureate degree program, offers a study abroad component or program in a location where a language other than English is primarily spoken shall provide, in accordance with rules adopted under Subsection (c), an option that allows a student enrolled in the study abroad component or program to earn foreign language credit as part of that component or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Higher Education Coordinating Board shall adopt rules as necessary to implement this section, including rules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define the study abroad components or programs to which this section applies;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the manner in which a student may earn foreign language credit as part of a component or program described by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51.313, Education Code, as added by this Act, applies beginning with the 2026-2027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2431 passed the Senate on April</w:t>
      </w:r>
      <w:r xml:space="preserve">
        <w:t> </w:t>
      </w:r>
      <w:r>
        <w:t xml:space="preserve">24,</w:t>
      </w:r>
      <w:r xml:space="preserve">
        <w:t> </w:t>
      </w:r>
      <w:r>
        <w:t xml:space="preserve">2025, by the following vote:  Yeas</w:t>
      </w:r>
      <w:r xml:space="preserve">
        <w:t> </w:t>
      </w:r>
      <w:r>
        <w:t xml:space="preserve">30, Nays</w:t>
      </w:r>
      <w:r xml:space="preserve">
        <w:t> </w:t>
      </w:r>
      <w:r>
        <w:t xml:space="preserve">1; and that the Senate concurred in House amendment on May</w:t>
      </w:r>
      <w:r xml:space="preserve">
        <w:t> </w:t>
      </w:r>
      <w:r>
        <w:t xml:space="preserve">31,</w:t>
      </w:r>
      <w:r xml:space="preserve">
        <w:t> </w:t>
      </w:r>
      <w:r>
        <w:t xml:space="preserve">2025, by the following vote:  Yeas</w:t>
      </w:r>
      <w:r xml:space="preserve">
        <w:t> </w:t>
      </w:r>
      <w:r>
        <w:t xml:space="preserve">29, Nays</w:t>
      </w:r>
      <w:r xml:space="preserve">
        <w:t> </w:t>
      </w:r>
      <w:r>
        <w:t xml:space="preserve">2.</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2431 passed the House, with amendment, on May</w:t>
      </w:r>
      <w:r xml:space="preserve">
        <w:t> </w:t>
      </w:r>
      <w:r>
        <w:t xml:space="preserve">28,</w:t>
      </w:r>
      <w:r xml:space="preserve">
        <w:t> </w:t>
      </w:r>
      <w:r>
        <w:t xml:space="preserve">2025, by the following vote:  Yeas</w:t>
      </w:r>
      <w:r xml:space="preserve">
        <w:t> </w:t>
      </w:r>
      <w:r>
        <w:t xml:space="preserve">76, Nays</w:t>
      </w:r>
      <w:r xml:space="preserve">
        <w:t> </w:t>
      </w:r>
      <w:r>
        <w:t xml:space="preserve">60,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2431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