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2477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certain municipal regulation of conversion of certain office buildings to mixed-use and multifamily residential occupancy.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7, Local Government Code, is amended by adding Chapter 218 to read as follows:</w:t>
      </w:r>
    </w:p>
    <w:p w:rsidR="003F3435" w:rsidRDefault="0032493E">
      <w:pPr>
        <w:spacing w:line="480" w:lineRule="auto"/>
        <w:jc w:val="center"/>
      </w:pPr>
      <w:r>
        <w:rPr>
          <w:u w:val="single"/>
        </w:rPr>
        <w:t xml:space="preserve">CHAPTER 218. </w:t>
      </w:r>
      <w:r>
        <w:rPr>
          <w:u w:val="single"/>
        </w:rPr>
        <w:t xml:space="preserve"> </w:t>
      </w:r>
      <w:r>
        <w:rPr>
          <w:u w:val="single"/>
        </w:rPr>
        <w:t xml:space="preserve">REGULATION OF MIXED-USE AND MULTIFAMILY RESIDENTIAL USE AND DEVELOPMENT IN CERTAIN MUNICIPALITIES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218.001.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"Heavy industrial use" means a storage, processing, or manufacturing use: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with processes using flammable or explosive materials;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hazardous conditions;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is noxious or offensive from odors, smoke, noise, fumes, or vibrations.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"Mixed-use residential," when used to describe land use or development, means the use or development, as applicable, of a site consisting of residential and nonresidential uses in which the residential uses are at least 65 percent of the total square footage of the development. </w:t>
      </w:r>
      <w:r>
        <w:rPr>
          <w:u w:val="single"/>
        </w:rPr>
        <w:t xml:space="preserve"> </w:t>
      </w:r>
      <w:r>
        <w:rPr>
          <w:u w:val="single"/>
        </w:rPr>
        <w:t xml:space="preserve">The term includes the use or development of a condominium.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"Multifamily residential," when used to describe land use or development, means the use or development, as applicable, of a site for three or more dwelling units within one or more buildings.  The term includes the use or development of a residential condominium.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"Permit" has the meaning assigned by Section 245.001.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218.002.</w:t>
      </w:r>
      <w:r>
        <w:rPr>
          <w:u w:val="single"/>
        </w:rPr>
        <w:t xml:space="preserve"> </w:t>
      </w:r>
      <w:r>
        <w:rPr>
          <w:u w:val="single"/>
        </w:rPr>
        <w:t xml:space="preserve"> </w:t>
      </w:r>
      <w:r>
        <w:rPr>
          <w:u w:val="single"/>
        </w:rPr>
        <w:t xml:space="preserve">APPLICABILITY OF CHAPTER.  This chapter applies only to a municipality with a population greater than 150,000 that is wholly or partly located in a county with a population greater than 300,000.</w:t>
      </w:r>
    </w:p>
    <w:p w:rsidR="003F3435" w:rsidRDefault="0032493E">
      <w:pPr>
        <w:spacing w:line="480" w:lineRule="auto"/>
        <w:ind w:firstLine="720"/>
        <w:jc w:val="both"/>
      </w:pPr>
      <w:r>
        <w:rPr>
          <w:u w:val="single"/>
        </w:rPr>
        <w:t xml:space="preserve">Sec.</w:t>
      </w:r>
      <w:r>
        <w:rPr>
          <w:u w:val="single"/>
        </w:rPr>
        <w:t xml:space="preserve"> </w:t>
      </w:r>
      <w:r>
        <w:rPr>
          <w:u w:val="single"/>
        </w:rPr>
        <w:t xml:space="preserve">218.003.</w:t>
      </w:r>
      <w:r>
        <w:rPr>
          <w:u w:val="single"/>
        </w:rPr>
        <w:t xml:space="preserve"> </w:t>
      </w:r>
      <w:r>
        <w:rPr>
          <w:u w:val="single"/>
        </w:rPr>
        <w:t xml:space="preserve"> </w:t>
      </w:r>
      <w:r>
        <w:rPr>
          <w:u w:val="single"/>
        </w:rPr>
        <w:t xml:space="preserve">NO EFFECT ON OTHER RESTRICTIONS AND RULES. </w:t>
      </w:r>
      <w:r>
        <w:rPr>
          <w:u w:val="single"/>
        </w:rPr>
        <w:t xml:space="preserve"> </w:t>
      </w:r>
      <w:r>
        <w:rPr>
          <w:u w:val="single"/>
        </w:rPr>
        <w:t xml:space="preserve">This chapter does not limit: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municipality from adopting or enforcing an ordinance, regulation, or other measure: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protect historic landmarks or include properties within the boundaries of local historic districts;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related to the use and occupancy of a residential property that is rented for a period not longer than 30 consecutive days;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property owner from enforcing rules or deed restrictions imposed by a property owners' association or by other private agreement;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otherwise provided by this chapter, a municipality from applying the following regulations that are generally applicable to other developments in the municipality: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sewer and water access requirements;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building codes;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stormwater mitigation requirements;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municipality from enforcing a deed restriction, to the extent authorized by Section 212.153.</w:t>
      </w:r>
    </w:p>
    <w:p w:rsidR="003F3435" w:rsidRDefault="0032493E">
      <w:pPr>
        <w:spacing w:line="480" w:lineRule="auto"/>
        <w:jc w:val="center"/>
      </w:pPr>
      <w:r>
        <w:rPr>
          <w:u w:val="single"/>
        </w:rPr>
        <w:t xml:space="preserve">SUBCHAPTER B. </w:t>
      </w:r>
      <w:r>
        <w:rPr>
          <w:u w:val="single"/>
        </w:rPr>
        <w:t xml:space="preserve"> </w:t>
      </w:r>
      <w:r>
        <w:rPr>
          <w:u w:val="single"/>
        </w:rPr>
        <w:t xml:space="preserve">FEES AND REGULATIONS APPLICABLE TO CONVERSION OF CERTAIN USES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218.101.</w:t>
      </w:r>
      <w:r>
        <w:rPr>
          <w:u w:val="single"/>
        </w:rPr>
        <w:t xml:space="preserve"> </w:t>
      </w:r>
      <w:r>
        <w:rPr>
          <w:u w:val="single"/>
        </w:rPr>
        <w:t xml:space="preserve"> </w:t>
      </w:r>
      <w:r>
        <w:rPr>
          <w:u w:val="single"/>
        </w:rPr>
        <w:t xml:space="preserve">APPLICABILITY.  (a) </w:t>
      </w:r>
      <w:r>
        <w:rPr>
          <w:u w:val="single"/>
        </w:rPr>
        <w:t xml:space="preserve"> </w:t>
      </w:r>
      <w:r>
        <w:rPr>
          <w:u w:val="single"/>
        </w:rPr>
        <w:t xml:space="preserve">This subchapter applies only to a building or the structural components of a building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being used primarily for office use;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proposed to be converted from primarily office use to mixed-use residential or multifamily residential occupancy for at least 65 percent of the building and at least 65 percent of each floor of the building that is fit for occupancy;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was constructed at least five years before the proposed date to start the conversion.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a building proposed to be converted to mixed-use residential or multifamily residential use that is located: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an area subject to a zoning classification that allows heavy industrial use;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1,000 feet of an existing heavy industrial use or development site;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3,000 feet of an airport or military base;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15,000 feet of the boundary of a military base if the area is designated by a municipality or joint airport zoning board, as applicable, as a clear zone or accident potential zone supporting military aviation operations.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218.102.</w:t>
      </w:r>
      <w:r>
        <w:rPr>
          <w:u w:val="single"/>
        </w:rPr>
        <w:t xml:space="preserve"> </w:t>
      </w:r>
      <w:r>
        <w:rPr>
          <w:u w:val="single"/>
        </w:rPr>
        <w:t xml:space="preserve"> </w:t>
      </w:r>
      <w:r>
        <w:rPr>
          <w:u w:val="single"/>
        </w:rPr>
        <w:t xml:space="preserve">CERTAIN REGULATIONS PROHIBITED.  (a) </w:t>
      </w:r>
      <w:r>
        <w:rPr>
          <w:u w:val="single"/>
        </w:rPr>
        <w:t xml:space="preserve"> </w:t>
      </w:r>
      <w:r>
        <w:rPr>
          <w:u w:val="single"/>
        </w:rPr>
        <w:t xml:space="preserve">Notwithstanding any other law, a municipality may not, in connection with the use, development, construction, or occupancy of a building proposed to be converted to mixed-use residential or multifamily residential use, require: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preparation of a traffic impact analysis or other study relating to the effect the proposed converted building would have on traffic or traffic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construction of improvements or payment of a fee in connection with mitigating traffic effects related to the proposed converted building;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provision of additional parking spaces, other than the parking spaces that already exist on the site of the proposed converted building;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extension, upgrade, replacement, or oversizing of a utility facility except as necessary to provide the minimum capacity needed to serve the proposed converted building;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limit on density applicable to the site of the proposed converted building that is more restrictive than the greater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highest residential density allowed in the municipality;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36 units per acre;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building proposed to be converted to multifamily residential occupancy not located in an area zoned for mixed-use residential use to include nonresidential uses;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design requirement, including a requirement related to the exterior, windows, internal environment of a building, or interior space dimensions of an apartment, that is more restrictive than the applicable minimum standard under the International Building Code as adopted as a municipal commercial building code under Section 214.216;</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change of a zoning district or land use classification or regulation or an approval of an amendment, exception, or variance to a zoning district or land use classification or regulation prior to allowing conversion of a building to mixed-use residential use or multifamily residential use;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floor-to-area ratio that is less than the greater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120 percent of the existing floor-to-area ratio of the building, if the proposed conversion does not increase the existing height or site coverage of the building;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highest floor-to-area ratio allowed for a building on the site;</w:t>
      </w:r>
      <w:r>
        <w:t xml:space="preserve"> </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limit on impervious cover or site coverage that is less than the existing impervious cover or site coverage of the building or site;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an additional drainage, detention, or water quality requirement, if the proposed conversion does not increase the amount of impervious cover on the building 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Subsection (a)(8), an amendment, exception, or variance to a zoning district or land use classification or regulation includes a special exception, zoning variance, site development variance, subdivision variance, conditional use approval, special use permit, comprehensive plan amendment, or other discretionary approval to allow conversion of a building to mixed-use residential use or multifamily residential use.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218.103.</w:t>
      </w:r>
      <w:r>
        <w:rPr>
          <w:u w:val="single"/>
        </w:rPr>
        <w:t xml:space="preserve"> </w:t>
      </w:r>
      <w:r>
        <w:rPr>
          <w:u w:val="single"/>
        </w:rPr>
        <w:t xml:space="preserve"> </w:t>
      </w:r>
      <w:r>
        <w:rPr>
          <w:u w:val="single"/>
        </w:rPr>
        <w:t xml:space="preserve">IMPACT FEE PROHIBITED.  A municipality may not impose an impact fee, as defined by Section 395.001, on land where a building has been converted to mixed-use residential or multifamily residential use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land on which the building is located was already subject to an impact fee before a building permit related to the conversion was filed with the municipality;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impact fee related to water and wastewater facilities, the conversion increases the demand for water and wastewater service for the building.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218.104.</w:t>
      </w:r>
      <w:r>
        <w:rPr>
          <w:u w:val="single"/>
        </w:rPr>
        <w:t xml:space="preserve"> </w:t>
      </w:r>
      <w:r>
        <w:rPr>
          <w:u w:val="single"/>
        </w:rPr>
        <w:t xml:space="preserve"> </w:t>
      </w:r>
      <w:r>
        <w:rPr>
          <w:u w:val="single"/>
        </w:rPr>
        <w:t xml:space="preserve">ADMINISTRATIVE APPROVAL REQUIRED. </w:t>
      </w:r>
      <w:r>
        <w:rPr>
          <w:u w:val="single"/>
        </w:rPr>
        <w:t xml:space="preserve"> </w:t>
      </w:r>
      <w:r>
        <w:rPr>
          <w:u w:val="single"/>
        </w:rPr>
        <w:t xml:space="preserve">Notwithstanding any other law, if a municipal authority responsible for approving a building permit or other authorization required for the conversion of a building to mixed-use residential use or multifamily residential use determines that a proposed conversion meets municipal regulations in accordance with this subchapter, the municipal authority: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administratively approve the permit or other authorization;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require further action by the governing body of the municipality for the approval to take effect.</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218.201.</w:t>
      </w:r>
      <w:r>
        <w:rPr>
          <w:u w:val="single"/>
        </w:rPr>
        <w:t xml:space="preserve"> </w:t>
      </w:r>
      <w:r>
        <w:rPr>
          <w:u w:val="single"/>
        </w:rPr>
        <w:t xml:space="preserve"> </w:t>
      </w:r>
      <w:r>
        <w:rPr>
          <w:u w:val="single"/>
        </w:rPr>
        <w:t xml:space="preserve">CIVIL ACTION.  (a)</w:t>
      </w:r>
      <w:r>
        <w:rPr>
          <w:u w:val="single"/>
        </w:rPr>
        <w:t xml:space="preserve"> </w:t>
      </w:r>
      <w:r>
        <w:rPr>
          <w:u w:val="single"/>
        </w:rPr>
        <w:t xml:space="preserve"> </w:t>
      </w:r>
      <w:r>
        <w:rPr>
          <w:u w:val="single"/>
        </w:rPr>
        <w:t xml:space="preserve">In this section, "housing organization" means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trade or industry group organized under the laws of this state consisting of local members primarily engaged in the construction or management of housing units;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nonprofit organization organized under the laws of this state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provides or advocates for increased access or reduced barriers to housing;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filed written or oral comments with the legislature;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nonprofit organization that is engaged in public policy research, education, and outreach that includes housing policy-related issues and advocacy.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housing organization or other person adversely affected or aggrieved by a violation of this chapter may bring an action for declaratory or injunctive relief against a municipality.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shall award reasonable attorney's fees and court costs to a prevailing claimant in an action brought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including Chapter 15, Civil Practice and Remedies Code, an action brought under this section must be brought in a county in which all or part of the real property that is the subject of the action is located.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the Fifteenth Court of Appeals has exclusive intermediate appellate jurisdiction over an action brought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395.011, Local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Section 218.103 and Subsection (b-1), political</w:t>
      </w:r>
      <w:r>
        <w:t xml:space="preserve"> [</w:t>
      </w:r>
      <w:r>
        <w:rPr>
          <w:strike/>
        </w:rPr>
        <w:t xml:space="preserve">Political</w:t>
      </w:r>
      <w:r>
        <w:t xml:space="preserve">] subdivisions may enact or impose impact fees on land within their corporate boundaries or extraterritorial jurisdictions only by complying with this chapter</w:t>
      </w:r>
      <w:r>
        <w:rPr>
          <w:u w:val="single"/>
        </w:rP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political subdivision may not enact or impose an impact fee on land within its</w:t>
      </w:r>
      <w:r>
        <w:t xml:space="preserve">[</w:t>
      </w:r>
      <w:r>
        <w:rPr>
          <w:strike/>
        </w:rPr>
        <w:t xml:space="preserve">, except that impact fees may not be enacted or imposed in the</w:t>
      </w:r>
      <w:r>
        <w:t xml:space="preserve">] extraterritorial jurisdiction for roadway facilities.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218, Local Government Code, as added by this Act, applies only to a building proposed to be converted to mixed-use residential or multifamily residential use in which a building permit was submitted to a municipality on or after the effective date of this Act.</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(a) </w:t>
      </w:r>
      <w:r>
        <w:t xml:space="preserve"> </w:t>
      </w:r>
      <w:r>
        <w:t xml:space="preserve">This section takes effect only if S.B. 840, 89th Legislature, Regular Session, 2025, is enacted and becomes law. If that legislation is not enacted or does not become law, this section has no effect.</w:t>
      </w:r>
    </w:p>
    <w:p w:rsidR="003F3435" w:rsidRDefault="0032493E">
      <w:pPr>
        <w:spacing w:line="480" w:lineRule="auto"/>
        <w:ind w:firstLine="720"/>
        <w:jc w:val="both"/>
      </w:pPr>
      <w:r>
        <w:t xml:space="preserve">(b)</w:t>
      </w:r>
      <w:r xml:space="preserve">
        <w:t> </w:t>
      </w:r>
      <w:r xml:space="preserve">
        <w:t> </w:t>
      </w:r>
      <w:r>
        <w:t xml:space="preserve">It is the intent of the 89th Legislature, Regular Session, 2025, that Chapter 218, Local Government Code, as added by this Act, be harmonized with Chapter 218, Local Government Code, as added by S.B. 840, 89th Legislature, Regular Session, 2025, and that this Act may not be construed to supersede, limit, or narrow the application of that legislation. </w:t>
      </w:r>
      <w:r>
        <w:t xml:space="preserve"> </w:t>
      </w:r>
      <w:r>
        <w:t xml:space="preserve">To the extent that a provision of Chapter 218, Local Government Code, as added by this Act, irreconcilably conflicts with a provision enacted by S.B. 840, 89th Legislature, Regular Session, 2025, it is the intent of the 89th Legislature, Regular Session, 2025, that the provision enacted by S.B. 840, 89th Legislature, Regular Session, 2025, shall control.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2477 passed the Senate on May</w:t>
      </w:r>
      <w:r xml:space="preserve">
        <w:t> </w:t>
      </w:r>
      <w:r>
        <w:t xml:space="preserve">8,</w:t>
      </w:r>
      <w:r xml:space="preserve">
        <w:t> </w:t>
      </w:r>
      <w:r>
        <w:t xml:space="preserve">2025, by the following vote:  Yeas</w:t>
      </w:r>
      <w:r xml:space="preserve">
        <w:t> </w:t>
      </w:r>
      <w:r>
        <w:t xml:space="preserve">28, Nays</w:t>
      </w:r>
      <w:r xml:space="preserve">
        <w:t> </w:t>
      </w:r>
      <w:r>
        <w:t xml:space="preserve">3; and that the Senate concurred in House amendments on May 30, 2025, by the following vote:  Yeas</w:t>
      </w:r>
      <w:r xml:space="preserve">
        <w:t> </w:t>
      </w:r>
      <w:r>
        <w:t xml:space="preserve">28, Nays</w:t>
      </w:r>
      <w:r xml:space="preserve">
        <w:t> </w:t>
      </w:r>
      <w:r>
        <w:t xml:space="preserve">3.</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2477 passed the House, with amendments, on May</w:t>
      </w:r>
      <w:r xml:space="preserve">
        <w:t> </w:t>
      </w:r>
      <w:r>
        <w:t xml:space="preserve">28,</w:t>
      </w:r>
      <w:r xml:space="preserve">
        <w:t> </w:t>
      </w:r>
      <w:r>
        <w:t xml:space="preserve">2025, by the following vote:  Yeas</w:t>
      </w:r>
      <w:r xml:space="preserve">
        <w:t> </w:t>
      </w:r>
      <w:r>
        <w:t xml:space="preserve">112, Nays</w:t>
      </w:r>
      <w:r xml:space="preserve">
        <w:t> </w:t>
      </w:r>
      <w:r>
        <w:t xml:space="preserve">26,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