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2477</w:t>
      </w:r>
    </w:p>
    <w:p w:rsidR="003F3435" w:rsidRDefault="0032493E">
      <w:pPr>
        <w:ind w:firstLine="720"/>
        <w:jc w:val="both"/>
      </w:pPr>
      <w:r>
        <w:t xml:space="preserve">(Patterson,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municipal regulation of conversion of certain office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limit: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ordinance, regulation, or other measure: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protect historic landmarks or include properties within the boundaries of local historic districts;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use and occupancy of a residential property that is rented for a period not longer than 30 consecutive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building or the structural components of a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primarily for office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primarily office use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building proposed to be converted to mixed-use residential or multifamily residential use that is located: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subject to a zoning classification that allows heavy industrial 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1,000 feet of an existing heavy industrial use or development site;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15,000 feet of the boundary of a military base if the area is designated by a municipality or joint airport zoning board, as applicable, as a clear zone or accident potential zone supporting military aviation operations.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applicable to the site of the proposed converted building that is more restrictive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proposed to be converted to multifamily residential occupancy not located in an area zoned for mixed-use residential use to include nonresidential uses;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change of a zoning district or land use classification or regulation or an approval of an amendment, exception, or variance to a zoning district or land use classification or regulation prior to allowing conversion of a building to mixed-use residential use or multifamily residential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floor-to-area ratio that is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120 percent of the existing floor-to-area ratio of the building, if the proposed conversion does not increase the existing height or site coverage of the building;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floor-to-area ratio allowed for a building on the site;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impervious cover or site coverage that is less than the existing impervious cover or site coverage of the building or 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additional drainage, detention, or water quality requirement, if the proposed conversion does not increase the amount of impervious cover on the building 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 (a)(8),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conversion of a building to mixed-use residential use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ADMINISTRATIVE APPROVAL REQUIRED.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if a municipal authority responsible for approving a building permit or other authorization required for the conversion of a building to mixed-use residential use or multifamily residential use determines that a proposed conversion meets municipal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or other person adversely affected or aggrieved by a violation of this chapter may bring an action for declaratory or injunctive relief against a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to a prevailing claimant in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218.103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