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89R17189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2512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county,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 acquiring emergency communication equipment that is interoperable with other emergency communication equipment and infrastructure in this state and with 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MANAGEMENT.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attend or provide the training to first responders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