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2540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terms of certain agreements involving minor boundary adjustments between two contiguous school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13.231, Education Code,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agreement executed under this section on or after January 1, 2025, must include,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term or terms of the agreement, including restrictions, covenants, or contracts, that will continue to apply in force and effect with respect to the real property in the territory following the transfer of that territory from one school district to the other;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brief explanation of the privileges, rights, and responsibilities of each school district with respect to a term described under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agreement executed under this section on or after January 1, 2025, but before the effective date of this Act, a term described under Subsection (c)(1) is effective as of January 1, 2025, or a subsequent date agreed to by the parties.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