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2540</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13,</w:t>
      </w:r>
      <w:r xml:space="preserve">
        <w:t> </w:t>
      </w:r>
      <w:r>
        <w:t xml:space="preserve">2025; April</w:t>
      </w:r>
      <w:r xml:space="preserve">
        <w:t> </w:t>
      </w:r>
      <w:r>
        <w:t xml:space="preserve">3,</w:t>
      </w:r>
      <w:r xml:space="preserve">
        <w:t> </w:t>
      </w:r>
      <w:r>
        <w:t xml:space="preserve">2025, read first time and referred to Committee on Education K-16; April</w:t>
      </w:r>
      <w:r xml:space="preserve">
        <w:t> </w:t>
      </w:r>
      <w:r>
        <w:t xml:space="preserve">22,</w:t>
      </w:r>
      <w:r xml:space="preserve">
        <w:t> </w:t>
      </w:r>
      <w:r>
        <w:t xml:space="preserve">2025, reported favorably by the following vote:</w:t>
      </w:r>
      <w:r>
        <w:t xml:space="preserve"> </w:t>
      </w:r>
      <w:r>
        <w:t xml:space="preserve"> </w:t>
      </w:r>
      <w:r>
        <w:t xml:space="preserve">Yeas 11, Nays 0; April</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terms of certain agreements involving minor boundary adjustments between two contiguous school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13.231, Education Code, is amended by adding Subsections </w:t>
      </w:r>
      <w:r>
        <w:t xml:space="preserve"> </w:t>
      </w:r>
      <w:r>
        <w:t xml:space="preserve">(c) </w:t>
      </w:r>
      <w:r>
        <w:t xml:space="preserve"> </w:t>
      </w:r>
      <w:r>
        <w:t xml:space="preserve">and </w:t>
      </w:r>
      <w:r>
        <w:t xml:space="preserve"> </w:t>
      </w:r>
      <w:r>
        <w:t xml:space="preserve">(d) </w:t>
      </w:r>
      <w:r>
        <w:t xml:space="preserve"> </w:t>
      </w:r>
      <w:r>
        <w:t xml:space="preserve">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agreement executed under this section on or after January 1, 2025, must include, if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term or terms of the agreement, including restrictions, covenants, or contracts, that will continue to apply in force and effect with respect to the real property in the territory following the transfer of that territory from one school district to the other;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brief explanation of the privileges, rights, and responsibilities of each school district with respect to a term described under Subdivision (1).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an agreement executed under this section on or after January 1, 2025, but before the effective date of this Act, a term described under Subsection (c)(1) is effective as of January 1, 2025, or a subsequent date agreed to by the parties.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