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Hancock, Hinojosa of Hidalgo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2543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Hinojosa of Nueces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amount of certain revenue that may be used for and the location of state veterans cemeteries.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164.005(f) and (h), Natural Resources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board, the chairman of the Texas Veterans Commission, and two representatives of the veterans community selected by the chairman of the Texas Veterans Commission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establish the guidelines for determining: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location and size of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eligibility for burial in a veterans cemetery;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select [</w:t>
      </w:r>
      <w:r>
        <w:rPr>
          <w:strike/>
        </w:rPr>
        <w:t xml:space="preserve">up to seven</w:t>
      </w:r>
      <w:r>
        <w:t xml:space="preserve">] locations across the state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rPr>
          <w:u w:val="single"/>
        </w:rPr>
        <w:t xml:space="preserve">The board may use</w:t>
      </w:r>
      <w:r>
        <w:t xml:space="preserve"> [</w:t>
      </w:r>
      <w:r>
        <w:rPr>
          <w:strike/>
        </w:rPr>
        <w:t xml:space="preserve">Of the</w:t>
      </w:r>
      <w:r>
        <w:t xml:space="preserve">] funds available in the veterans' land fund, the veterans' housing assistance fund, and the veterans' housing assistance fund II that may be used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cemeteries, the board may spend not more than $7 million each fiscal year</w:t>
      </w:r>
      <w:r>
        <w:t xml:space="preserve">] to plan and design, operate, maintain, enlarge, or improve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  The board may not use funds from the veterans' land fund, the veterans' housing assistance fund, or the veterans' housing assistance fund II to acquire land to be used for a veterans cemetery.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2543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