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Middleton</w:t>
      </w:r>
      <w:r xml:space="preserve">
        <w:tab wTab="150" tlc="none" cTlc="0"/>
      </w:r>
      <w:r>
        <w:t xml:space="preserve">S.B.</w:t>
      </w:r>
      <w:r xml:space="preserve">
        <w:t> </w:t>
      </w:r>
      <w:r>
        <w:t xml:space="preserve">No.</w:t>
      </w:r>
      <w:r xml:space="preserve">
        <w:t> </w:t>
      </w:r>
      <w:r>
        <w:t xml:space="preserve">2553</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Local Government; May</w:t>
      </w:r>
      <w:r xml:space="preserve">
        <w:t> </w:t>
      </w:r>
      <w:r>
        <w:t xml:space="preserve">9,</w:t>
      </w:r>
      <w:r xml:space="preserve">
        <w:t> </w:t>
      </w:r>
      <w:r>
        <w:t xml:space="preserve">2025, reported adversely, with favorable Committee Substitute by the following vote:</w:t>
      </w:r>
      <w:r>
        <w:t xml:space="preserve"> </w:t>
      </w:r>
      <w:r>
        <w:t xml:space="preserve"> </w:t>
      </w:r>
      <w:r>
        <w:t xml:space="preserve">Yeas 7, Nays 0; May</w:t>
      </w:r>
      <w:r xml:space="preserve">
        <w:t> </w:t>
      </w:r>
      <w:r>
        <w:t xml:space="preserve">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2553</w:t>
      </w:r>
      <w:r xml:space="preserve">
        <w:tab wTab="150" tlc="none" cTlc="0"/>
      </w:r>
      <w:r>
        <w:t xml:space="preserve">By:</w:t>
      </w:r>
      <w:r xml:space="preserve">
        <w:t> </w:t>
      </w:r>
      <w:r xml:space="preserve">
        <w:t> </w:t>
      </w:r>
      <w:r>
        <w:t xml:space="preserve">Gutierrez</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an owner of property that qualifies for an exemption as a historic or archaeological site to protest the allocation of the appraised value of the property between the land and the improvements to the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11.24, Tax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a structure or archeological site and land subject to an exemption under this section, the property owner may protest the appraised value of the structure or archeological site and the appraised value of the land separately. A property owner may protest the allocation of appraised value between the structure or archeological site and the land.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41.41(a), Tax Code, as effective until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(4-a)  determination that the owner's property does not qualify for the circuit breaker limitation on appraised value provided by Section 23.231;</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archaeological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41.41(a), Tax Code, as effective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archaeological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protest under Chapter 41, Tax Code, for which a notice of protest is filed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2553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