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2598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structures located near a National Wildlife Refuge.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26, Parks and Wildlife Code, is amended by adding Section 26.005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26.005.</w:t>
      </w:r>
      <w:r>
        <w:rPr>
          <w:u w:val="single"/>
        </w:rPr>
        <w:t xml:space="preserve"> </w:t>
      </w:r>
      <w:r>
        <w:rPr>
          <w:u w:val="single"/>
        </w:rPr>
        <w:t xml:space="preserve"> </w:t>
      </w:r>
      <w:r>
        <w:rPr>
          <w:u w:val="single"/>
        </w:rPr>
        <w:t xml:space="preserve">NOTICE OF CONSTRUCTION.  (a) This section applies only in a county that has a population of less than 500,000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borders the Gulf of Mexico;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 National Wildlife Refuge;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construct a structure that is taller than 500 feet unless the person provides notice to the department at least 90 days before beginning construction of the 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Notice under this section must give sufficient detail of the structure for the department to reasonably evaluate its impact on wildlife.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Upon receiving notice under this section, the department may evaluate the proposed structure. If the department determines that construction of the structure or structures would materially damage wildlife in this state, the department may, on or before the 90th day after notice is filed, seek relief as provided by this section to limit or enjoin construction.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takes no action on or before the 90th day after notice is filed, the person may proceed with construction.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district court of a county in which the structure is proposed to be constructed may restrain and enjoin the person from constructing the structure.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court may grant injunctive relief on application of the department.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is not required to post a bond when seeking injunctive relief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