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2601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April</w:t>
      </w:r>
      <w:r xml:space="preserve">
        <w:t> </w:t>
      </w:r>
      <w:r>
        <w:t xml:space="preserve">3,</w:t>
      </w:r>
      <w:r xml:space="preserve">
        <w:t> </w:t>
      </w:r>
      <w:r>
        <w:t xml:space="preserve">2025, read first time and referred to Committee on Border Security; April</w:t>
      </w:r>
      <w:r xml:space="preserve">
        <w:t> </w:t>
      </w:r>
      <w:r>
        <w:t xml:space="preserve">16,</w:t>
      </w:r>
      <w:r xml:space="preserve">
        <w:t> </w:t>
      </w:r>
      <w:r>
        <w:t xml:space="preserve">2025, reported adversely, with favorable Committee Substitute by the following vote:</w:t>
      </w:r>
      <w:r>
        <w:t xml:space="preserve"> </w:t>
      </w:r>
      <w:r>
        <w:t xml:space="preserve"> </w:t>
      </w:r>
      <w:r>
        <w:t xml:space="preserve">Yeas 5, Nays 0;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2601</w:t>
      </w:r>
      <w:r xml:space="preserve">
        <w:tab wTab="150" tlc="none" cTlc="0"/>
      </w:r>
      <w:r>
        <w:t xml:space="preserve">By:</w:t>
      </w:r>
      <w:r xml:space="preserve">
        <w:t> </w:t>
      </w:r>
      <w:r xml:space="preserve">
        <w:t> </w:t>
      </w:r>
      <w:r>
        <w:t xml:space="preserve">Hinojosa of Hidalgo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landowner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56C.001(2),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56C.003, Code of Criminal Procedure, is amended by amending Subsection (a) and adding Subsections (b-1), (c-1), and (e) to read as follows:</w:t>
      </w:r>
    </w:p>
    <w:p w:rsidR="003F3435" w:rsidRDefault="0032493E">
      <w:pPr>
        <w:spacing w:line="480" w:lineRule="auto"/>
        <w:ind w:firstLine="720"/>
        <w:jc w:val="both"/>
      </w:pPr>
      <w:r>
        <w:t xml:space="preserve">(a)</w:t>
      </w:r>
      <w:r xml:space="preserve">
        <w:t> </w:t>
      </w:r>
      <w:r xml:space="preserve">
        <w:t> </w:t>
      </w:r>
      <w:r>
        <w:t xml:space="preserve">From money appropriated for the purpose, the attorney general shall establish and administer a program to compensate landowners </w:t>
      </w:r>
      <w:r>
        <w:rPr>
          <w:u w:val="single"/>
        </w:rPr>
        <w:t xml:space="preserve">and lessees</w:t>
      </w:r>
      <w:r>
        <w:t xml:space="preserve"> who suffer real property damage on agricultural land caused by:</w:t>
      </w:r>
    </w:p>
    <w:p w:rsidR="003F3435" w:rsidRDefault="0032493E">
      <w:pPr>
        <w:spacing w:line="480" w:lineRule="auto"/>
        <w:ind w:firstLine="1440"/>
        <w:jc w:val="both"/>
      </w:pPr>
      <w:r>
        <w:t xml:space="preserve">(1)</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t xml:space="preserve">(2)</w:t>
      </w:r>
      <w:r xml:space="preserve">
        <w:t> </w:t>
      </w:r>
      <w:r xml:space="preserve">
        <w:t> </w:t>
      </w:r>
      <w:r>
        <w:t xml:space="preserve">a law enforcement response to a trespasser who was engaged in a border crime.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clean debris, pollutants, or contaminants.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may not award compensation under this article to a lessee for real property damage caused by a trespasser described by Subsection (a)(1) unless the lessee provides a notarized statement from the landowner authorizing the lessee to directly receive compensation awarded under this article for the damage.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attorney general and not later than the 14th business day after the date of the request, a law enforcement agency shall release to the attorney general all reports, including witness statements and criminal history record information, to allow the attorney general to determine whether a person qualifies for an award of compensation under this article and the extent of the damage.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2251.052,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setting rates, an insurer may not consider whether a claim has been made by or on behalf of a policyholder in relation to an event documented by a report described by Article 56C.003(c),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2251.052(a-1), Insurance Code, as added by this Act, applies only to an insurance policy that is delivered, issued for delivery, or renewed on or after January 1, 2026.  A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