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Blanco,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2610</w:t>
      </w:r>
    </w:p>
    <w:p w:rsidR="003F3435" w:rsidRDefault="0032493E">
      <w:pPr>
        <w:ind w:firstLine="720"/>
        <w:jc w:val="both"/>
      </w:pPr>
      <w:r>
        <w:t xml:space="preserve">(Capriglione)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limitation on civil liability of business entities in connection with a breach of system security.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Subtitle C, Title 11, Business &amp; Commerce Code, is amended by adding Chapter 542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CHAPTER 542.  CYBERSECURITY PROGRAM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542.001.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DEFINITIONS.  In this chapter: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"Breach of system security" has the meaning assigned by Section 521.053.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"Exemplary damages" has the meaning assigned by Section 41.001, Civil Practice and Remedies Code.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"Personal identifying information" and "sensitive personal information" have the meanings assigned by Section 521.002.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542.002.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APPLICABILITY OF CHAPTER.  This chapter applies only to a business entity in this state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fewer than 250 employees;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owns or licenses computerized data that includes sensitive personal information.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542.003.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CYBERSECURITY PROGRAM SAFE HARBOR: EXEMPLARY DAMAGES PROHIBITED.  Notwithstanding any other law, in an action arising from a breach of system security, a person harmed as a result of the breach may not recover exemplary damages from a business entity to which this chapter applies if the entity demonstrates that at the time of the breach the entity implemented and maintained a cybersecurity program in compliance with Section 542.004.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542.004.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CYBERSECURITY PROGRAM.  (a)  For purposes of Section 542.003, a cybersecurity program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contain administrative, technical, and physical safeguards for the protection of personal identifying information and sensitive personal information;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conform to an industry-recognized cybersecurity framework as described by Subsection (b);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 designed to: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protect the security of personal identifying information and sensitive personal information;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protect against any threat or hazard to the integrity of personal identifying information and sensitive personal information;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protect against unauthorized access to or acquisition of personal identifying information and sensitive personal information that would result in a material risk of identity theft or other fraud to the individual to whom the information relates;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 regard to the scale and scope, meet the following requirements: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 business entity with fewer than 20 employees, simplified requirements, including password policies and appropriate employee cybersecurity training;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 business entity with at least 20 employees but fewer than 100 employees, moderate requirements, including the requirements of the Center for Internet Security Controls Implementation Group 1;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 business entity with at least 100 employees but fewer than 250 employees, compliance with the requirements of Subsection (b).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cybersecurity program under this section conforms to an industry-recognized cybersecurity framework for purposes of this section if the program conforms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current version of or any combination of current versions of the following: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Framework for Improving Critical Infrastructure Cybersecurity published by the National Institute of Standards and Technology (NIST);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NIST's special publication 800-171;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NIST's special publications 800-53 and 800-53a;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Federal Risk and Authorization Management Program's FedRAMP Security Assessment Framework;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Center for Internet Security Critical Security Controls for Effective Cyber Defense;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ISO/IEC 27000-series information security standards published by the International Organization for Standardization and the International Electrotechnical Commission;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(G)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Health Information Trust Alliance's Common Security Framework;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(H)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Secure Controls Framework;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Service Organization Control Type 2 Framework;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(J)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other similar frameworks or standards of the cybersecurity industry;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business entity is subject to its requirements, the current version of the following: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Health Insurance Portability and Accountability Act of 1996 (42 U.S.C. Section 1320d et seq.);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Title V, Gramm-Leach-Bliley Act (15 U.S.C. Section 6801 et seq.);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Federal Information Security Modernization Act of 2014 (Pub. L. No.</w:t>
      </w:r>
      <w:r>
        <w:rPr>
          <w:u w:val="single"/>
        </w:rPr>
        <w:t xml:space="preserve"> </w:t>
      </w:r>
      <w:r>
        <w:rPr>
          <w:u w:val="single"/>
        </w:rPr>
        <w:t xml:space="preserve">113-283);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Health Information Technology for Economic and Clinical Health Act (Division A, Title XIII, and Division B, Title IV, Pub. L. No.</w:t>
      </w:r>
      <w:r>
        <w:rPr>
          <w:u w:val="single"/>
        </w:rPr>
        <w:t xml:space="preserve"> </w:t>
      </w:r>
      <w:r>
        <w:rPr>
          <w:u w:val="single"/>
        </w:rPr>
        <w:t xml:space="preserve">111-5);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applicable to the business entity, a current version of the Payment Card Industry Data Security Standard.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any standard described by Subsection (b)(1) is published and updated, a business entity's cybersecurity program continues to meet the requirements of a program under this section if the entity updates the program to meet the updated standard not later than the later of: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implementation date published in the updated standard;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first anniversary of the date on which the updated standard is published.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542.005.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CONSTRUCTION OF CHAPTER; NO PRIVATE CAUSE OF ACTION. </w:t>
      </w:r>
      <w:r>
        <w:rPr>
          <w:u w:val="single"/>
        </w:rPr>
        <w:t xml:space="preserve"> </w:t>
      </w:r>
      <w:r>
        <w:rPr>
          <w:u w:val="single"/>
        </w:rPr>
        <w:t xml:space="preserve">This chapter may not be construed to create a private cause of action or change a common law or statutory duty.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542.003, Business &amp; Commerce Code, as added by this Act, applies only to a cause of action that accrues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2610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