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89R31963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2615</w:t>
      </w:r>
    </w:p>
    <w:p w:rsidR="003F3435" w:rsidRDefault="0032493E">
      <w:pPr>
        <w:ind w:firstLine="720"/>
        <w:jc w:val="both"/>
      </w:pPr>
      <w:r>
        <w:t xml:space="preserve">(Tepper)</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2615:</w:t>
      </w: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C.S.S.B.</w:t>
      </w:r>
      <w:r xml:space="preserve">
        <w:t> </w:t>
      </w:r>
      <w:r>
        <w:t xml:space="preserve">No.</w:t>
      </w:r>
      <w:r xml:space="preserve">
        <w:t> </w:t>
      </w:r>
      <w:r>
        <w:t xml:space="preserve">2615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restricting telework for employees of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51.992.</w:t>
      </w:r>
      <w:r>
        <w:rPr>
          <w:u w:val="single"/>
        </w:rPr>
        <w:t xml:space="preserve"> </w:t>
      </w:r>
      <w:r>
        <w:rPr>
          <w:u w:val="single"/>
        </w:rPr>
        <w:t xml:space="preserve"> </w:t>
      </w:r>
      <w:r>
        <w:rPr>
          <w:u w:val="single"/>
        </w:rPr>
        <w:t xml:space="preserve">RESTRICTIONS ON TELEWORK FOR HIGHER EDUCATION EMPLOYEES.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"Faculty member" has the meaning assigned by Section 51.101.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"Telework"</w:t>
      </w:r>
      <w:r>
        <w:rPr>
          <w:u w:val="single"/>
        </w:rPr>
        <w:t xml:space="preserve"> </w:t>
      </w:r>
      <w:r>
        <w:rPr>
          <w:u w:val="single"/>
        </w:rPr>
        <w:t xml:space="preserve">means a work arrangement that allows an employee of an institution of higher education to conduct on a regular basis all or some institutional business at a place other than the employee's regular or assigned temporary place of employment during all or a portion of the employee's established work hours.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658.010, Government Code, an institution of higher education may not allow telework for an employee except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allow telework for an employee on a temporary or permanent basis if the employee: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temporary illness;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temporary or permanent medical condition or disability requiring the institution to make a reasonable accommodation under state or federal law for the telework;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employed in a nonteaching position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demonstrated the ability to work well with minimal supervision;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deep understanding of the employee's duties and responsibilities;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demonstrated the ability to manage the employee's time;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 record of thoroughly and efficiently accomplishing the employee's duties;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employed in a position that does not require the employee's day-to-day physical presence at the institution or in-person interaction with students, administration, or other employees;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employed in a teaching position but is not a faculty member of the institution;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employed in a teaching position and is currently assigned to teach only a course or program that the institution has: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approved for remote instruction in accordance with the institution's academic oversight or faculty governance procedures;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distance education;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dual credit course or program provided by the institution;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is employed as a faculty member and is on a temporary research assignment located off the institution's campus;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 employed as a faculty member who provides telehealth services as part of the employee's assigned clinical, research, or instructional duties.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an employee of an institution of higher education from providing instruction for a dual credit course or program at the campus of a school district or open-enrollment charter school.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Higher Education Coordinating Board may adopt rules as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51.992,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