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2025S0235-T  03/13/25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2630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foreclosure of a lien-free or mortgage-free residence homestead by a local taxing entity.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33.06, Tax Code, is amended by adding Subsections (i), (j), and (k) to read as follows: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Notwithstanding any other provision of this code, a local taxing entity, including a county, municipality, school district, or special taxing district, may not initiate foreclosure proceedings against a residence homestead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homeowner owns the property outright, with no active mortgage, home equity loan, reverse mortgage, or any other recorded lien held by a financial institution or lender;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homeowner's delinquent property taxes are less than $25,000, including penalties and interest.</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If the delinquent property taxes exceed the threshold in Subsection (i)(2), the local taxing entity must first offer the homeowner a structured repayment plan of at least five years before initiating foreclosure proceedings.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Any property tax debt less than $25,000 that remains unpaid shall be converted into a non-enforceable tax lien that must be satisfied before the property can be sold, transferred, or inherited.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