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2776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14,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Criminal Justice; April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April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disclosure of certain information by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244.003, Human Resources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Except as provided by Section 243.051(c), these records and all other information concerning a child, including personally identifiable information, are not public and are available only according to the provisions of </w:t>
      </w:r>
      <w:r>
        <w:rPr>
          <w:u w:val="single"/>
        </w:rPr>
        <w:t xml:space="preserve">Subsection (c) of this section,</w:t>
      </w:r>
      <w:r>
        <w:t xml:space="preserve"> Section 58.005, Family Code, Section 244.051 of this code, and Chapter 67,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may disclose information concerning a person who was committed to the department, including personally identifiable information,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person: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been discharged from commitment by the department;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at least 18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given consent for the department to disclose the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does not disclose any information for which the person did not consent to disclosure and does not disclose any information for a purpose other than the purpose for which the person consented to disclosure.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