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2779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and use of certain hotel occupancy tax revenues.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156.2511, Tax Code, is amended by adding Subsections (a-1) and (b-1)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eligible coastal municipality that receives a warrant issued under Subsection (a) shall transfer the full amount of the warrant to the park board of trustees created by the municipality not later than the last day of the calendar month immediately following the date the municipality received the warrant.</w:t>
      </w:r>
    </w:p>
    <w:p w:rsidR="003F3435" w:rsidRDefault="0032493E">
      <w:pPr>
        <w:spacing w:line="480" w:lineRule="auto"/>
        <w:ind w:firstLine="720"/>
        <w:jc w:val="both"/>
      </w:pPr>
      <w:r>
        <w:t xml:space="preserve">(b)</w:t>
      </w:r>
      <w:r xml:space="preserve">
        <w:t> </w:t>
      </w:r>
      <w:r xml:space="preserve">
        <w:t> </w:t>
      </w:r>
      <w:r>
        <w:rPr>
          <w:u w:val="single"/>
        </w:rPr>
        <w:t xml:space="preserve">Money</w:t>
      </w:r>
      <w:r>
        <w:t xml:space="preserve"> [</w:t>
      </w:r>
      <w:r>
        <w:rPr>
          <w:strike/>
        </w:rPr>
        <w:t xml:space="preserve">An eligible coastal municipality may use money</w:t>
      </w:r>
      <w:r>
        <w:t xml:space="preserve">] received under this section </w:t>
      </w:r>
      <w:r>
        <w:rPr>
          <w:u w:val="single"/>
        </w:rPr>
        <w:t xml:space="preserve">may be used</w:t>
      </w:r>
      <w:r>
        <w:t xml:space="preserve"> only to clean and maintain public beaches in </w:t>
      </w:r>
      <w:r>
        <w:rPr>
          <w:u w:val="single"/>
        </w:rPr>
        <w:t xml:space="preserve">the eligible coastal</w:t>
      </w:r>
      <w:r>
        <w:t xml:space="preserve"> [</w:t>
      </w:r>
      <w:r>
        <w:rPr>
          <w:strike/>
        </w:rPr>
        <w:t xml:space="preserve">that</w:t>
      </w:r>
      <w:r>
        <w:t xml:space="preserve">] municipality.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may issue a warrant under this section only if the eligible coastal municipality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allocated at least one percent of the tax imposed by the municipality under Chapter 351 to clean and maintain public beaches in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applied for state funds under Subchapter C, Chapter 61, Natural Resources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made available to the comptroller the same information required to be contained in an application under Section 61.069, Natural Resources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request of the comptroller, submitted to the comptroller: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financial data necessary to demonstrate that the municipality has satisfied the requirements of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signed attestation stating that the municipality has satisfied the requirements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351.101,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revenue derived from the tax authorized by this chapter may not be expended in a manner or by a program or activity that discriminates or prioritizes on the basis of race, color, disability, sex, religion, age, or national origin.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