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2779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April</w:t>
      </w:r>
      <w:r xml:space="preserve">
        <w:t> </w:t>
      </w:r>
      <w:r>
        <w:t xml:space="preserve">3,</w:t>
      </w:r>
      <w:r xml:space="preserve">
        <w:t> </w:t>
      </w:r>
      <w:r>
        <w:t xml:space="preserve">2025, read first time and referred to Committee on Economic Development; April</w:t>
      </w:r>
      <w:r xml:space="preserve">
        <w:t> </w:t>
      </w:r>
      <w:r>
        <w:t xml:space="preserve">16,</w:t>
      </w:r>
      <w:r xml:space="preserve">
        <w:t> </w:t>
      </w:r>
      <w:r>
        <w:t xml:space="preserve">2025, reported adversely, with favorable Committee Substitute by the following vote:</w:t>
      </w:r>
      <w:r>
        <w:t xml:space="preserve"> </w:t>
      </w:r>
      <w:r>
        <w:t xml:space="preserve"> </w:t>
      </w:r>
      <w:r>
        <w:t xml:space="preserve">Yeas 4, Nays 1; April</w:t>
      </w:r>
      <w:r xml:space="preserve">
        <w:t> </w:t>
      </w:r>
      <w:r>
        <w:t xml:space="preserve">16,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2779</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allocation and use of certain hotel occupancy tax revenues.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156.2511, Tax Code, is amended by adding Subsections (a-1) and (b-1)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eligible coastal municipality that receives a warrant issued under Subsection (a) shall transfer the full amount of the warrant to the park board of trustees created by the municipality not later than the last day of the calendar month immediately following the date the municipality received the warrant.</w:t>
      </w:r>
    </w:p>
    <w:p w:rsidR="003F3435" w:rsidRDefault="0032493E">
      <w:pPr>
        <w:spacing w:line="480" w:lineRule="auto"/>
        <w:ind w:firstLine="720"/>
        <w:jc w:val="both"/>
      </w:pPr>
      <w:r>
        <w:t xml:space="preserve">(b)</w:t>
      </w:r>
      <w:r xml:space="preserve">
        <w:t> </w:t>
      </w:r>
      <w:r xml:space="preserve">
        <w:t> </w:t>
      </w:r>
      <w:r>
        <w:rPr>
          <w:u w:val="single"/>
        </w:rPr>
        <w:t xml:space="preserve">Money</w:t>
      </w:r>
      <w:r>
        <w:t xml:space="preserve"> [</w:t>
      </w:r>
      <w:r>
        <w:rPr>
          <w:strike/>
        </w:rPr>
        <w:t xml:space="preserve">An eligible coastal municipality may use money</w:t>
      </w:r>
      <w:r>
        <w:t xml:space="preserve">] received under this section </w:t>
      </w:r>
      <w:r>
        <w:rPr>
          <w:u w:val="single"/>
        </w:rPr>
        <w:t xml:space="preserve">may be used</w:t>
      </w:r>
      <w:r>
        <w:t xml:space="preserve"> only to clean and maintain public beaches in </w:t>
      </w:r>
      <w:r>
        <w:rPr>
          <w:u w:val="single"/>
        </w:rPr>
        <w:t xml:space="preserve">the eligible coastal</w:t>
      </w:r>
      <w:r>
        <w:t xml:space="preserve"> [</w:t>
      </w:r>
      <w:r>
        <w:rPr>
          <w:strike/>
        </w:rPr>
        <w:t xml:space="preserve">that</w:t>
      </w:r>
      <w:r>
        <w:t xml:space="preserve">] municipality.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may issue a warrant under this section only if the eligible coastal municipality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allocated at least one percent of the tax imposed by the municipality under Chapter 351 to clean and maintain public beaches in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applied for state funds under Subchapter C, Chapter 61, Natural Resources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made available to the comptroller the same information required to be contained in an application under Section 61.069, Natural Resources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request of the comptroller, submitted to the comptroller: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financial data necessary to demonstrate that the municipality has satisfied the requirements of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signed attestation stating that the municipality has satisfied the requirements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351.101, Tax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revenue derived from the tax authorized by this chapter may not be expended in a manner or by a program or activity that discriminates or prioritizes on the basis of race, color, disability, sex, religion, age, or national origin.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