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Hagenbuch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2807</w:t>
      </w:r>
    </w:p>
    <w:p w:rsidR="003F3435" w:rsidRDefault="0032493E">
      <w:pPr>
        <w:ind w:firstLine="720"/>
        <w:jc w:val="both"/>
      </w:pPr>
      <w:r>
        <w:t xml:space="preserve">(Curry)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considerations when determining whether an operator of a motor vehicle is an employee of a motor carrier or an independent contractor.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Subtitle F, Title 7, Transportation Code, is amended by adding Chapter 644A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644A.  MOTOR CARRIER SAFETY IMPROVEMENT: </w:t>
      </w:r>
      <w:r>
        <w:rPr>
          <w:u w:val="single"/>
        </w:rPr>
        <w:t xml:space="preserve"> </w:t>
      </w:r>
      <w:r>
        <w:rPr>
          <w:u w:val="single"/>
        </w:rPr>
        <w:t xml:space="preserve">EMPLOYMENT STATUS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644A.001.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"Motor carrier" has the meaning assigned by Section 643.001.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"Motor carrier safety improvement" means any: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device, equipment, software, or technology that is intended and primarily used to improve or facilitate: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compliance with traffic safety or motor carrier safety laws;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safety of a motor vehicle;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safety of an operator of a motor vehicle;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(iv)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safety of third-party users of public roadways;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procedure, training, policy, program, or operational practice related to any device, equipment, software, or technology described by Paragraph (A).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644A.002.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EMPLOYMENT STATUS.  The deployment, implementation, or use of a motor carrier safety improvement by or as required by a motor carrier or a related entity, including through contract, may not be considered when determining whether the operator of a motor vehicle is an employee or joint employee of the motor carrier or an independent contractor for purposes of state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2807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