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Hagenbuch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2807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14,</w:t>
      </w:r>
      <w:r xml:space="preserve">
        <w:t> </w:t>
      </w:r>
      <w:r>
        <w:t xml:space="preserve">2025; April</w:t>
      </w:r>
      <w:r xml:space="preserve">
        <w:t> </w:t>
      </w:r>
      <w:r>
        <w:t xml:space="preserve">7,</w:t>
      </w:r>
      <w:r xml:space="preserve">
        <w:t> </w:t>
      </w:r>
      <w:r>
        <w:t xml:space="preserve">2025, read first time and referred to Committee on Transportation; April</w:t>
      </w:r>
      <w:r xml:space="preserve">
        <w:t> </w:t>
      </w:r>
      <w:r>
        <w:t xml:space="preserve">23,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23,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Hidalgo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considerations when determining whether an operator of a motor vehicle is an employee of a motor carrier or an independent contractor.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F, Title 7, Transportation Code, is amended by adding Chapter 644A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644A.  MOTOR CARRIER SAFETY IMPROVEMENT: </w:t>
      </w:r>
      <w:r>
        <w:rPr>
          <w:u w:val="single"/>
        </w:rPr>
        <w:t xml:space="preserve"> </w:t>
      </w:r>
      <w:r>
        <w:rPr>
          <w:u w:val="single"/>
        </w:rPr>
        <w:t xml:space="preserve">EMPLOYMENT STATUS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644A.001.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"Motor carrier" has the meaning assigned by Section 643.001.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"Motor carrier safety improvement" means any device, equipment, software, technology, procedure, training, policy, program, or operational practice that is intended and primarily used to improve or facilitate: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compliance with traffic safety or motor carrier safety laws;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a motor vehicle;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an operator of a motor vehicle;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third-party users of public roadways.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644A.002.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EMPLOYMENT STATUS.  The deployment, implementation, or use of a motor carrier safety improvement by or as required by a motor carrier or a related entity, including through contract, may not be considered when determining whether the operator of a motor vehicle is an employee or joint employee of the motor carrier or an independent contractor for purposes of state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