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2815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diploma designation of an institution of higher education.</w:t>
      </w:r>
    </w:p>
    <w:p w:rsidR="003F3435" w:rsidRDefault="0032493E">
      <w:pPr>
        <w:spacing w:line="480" w:lineRule="auto"/>
        <w:jc w:val="both"/>
      </w:pP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51.997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51.997.</w:t>
      </w:r>
      <w:r>
        <w:rPr>
          <w:u w:val="single"/>
        </w:rPr>
        <w:t xml:space="preserve"> </w:t>
      </w:r>
      <w:r>
        <w:rPr>
          <w:u w:val="single"/>
        </w:rPr>
        <w:t xml:space="preserve"> </w:t>
      </w:r>
      <w:r>
        <w:rPr>
          <w:u w:val="single"/>
        </w:rPr>
        <w:t xml:space="preserve">DIPLOMA DESIGNATION IN THE CASE OF A MERGER. </w:t>
      </w:r>
      <w:r>
        <w:rPr>
          <w:u w:val="single"/>
        </w:rPr>
        <w:t xml:space="preserve"> </w:t>
      </w:r>
      <w:r>
        <w:rPr>
          <w:u w:val="single"/>
        </w:rPr>
        <w:t xml:space="preserve">If an institution of higher education, as defined by Section 61.003, Education Code, merges or changes names, the institution shall offer each student enrolled at the time of the name change the option to receive a diploma with the new institution name or the former institution name.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