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2835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stairway requirements in certain multifamily residential buildings by political subdivisions.</w:t>
      </w:r>
    </w:p>
    <w:p w:rsidR="003F3435" w:rsidRDefault="0032493E">
      <w:pPr>
        <w:spacing w:line="480" w:lineRule="auto"/>
        <w:ind w:firstLine="720"/>
        <w:jc w:val="both"/>
      </w:pPr>
      <w:r>
        <w:t xml:space="preserve">BE IT ENACTED BY THE LEGISLATURE OF THE STATE OF TEXAS: Section 1. Chapter 214, Local Government Code, is amended by adding Subchapter I to read as follows:</w:t>
      </w:r>
    </w:p>
    <w:p w:rsidR="003F3435" w:rsidRDefault="0032493E">
      <w:pPr>
        <w:spacing w:line="480" w:lineRule="auto"/>
        <w:ind w:firstLine="1440"/>
        <w:jc w:val="both"/>
      </w:pPr>
      <w:r>
        <w:rPr>
          <w:u w:val="single"/>
        </w:rPr>
        <w:t xml:space="preserve">SUBCHAPTER </w:t>
      </w:r>
      <w:r>
        <w:rPr>
          <w:u w:val="single"/>
        </w:rPr>
        <w:t xml:space="preserve"> </w:t>
      </w:r>
      <w:r>
        <w:rPr>
          <w:u w:val="single"/>
        </w:rPr>
        <w:t xml:space="preserve">I.</w:t>
      </w:r>
      <w:r>
        <w:rPr>
          <w:u w:val="single"/>
        </w:rPr>
        <w:t xml:space="preserve"> </w:t>
      </w:r>
      <w:r>
        <w:rPr>
          <w:u w:val="single"/>
        </w:rPr>
        <w:t xml:space="preserve"> </w:t>
      </w:r>
      <w:r>
        <w:rPr>
          <w:u w:val="single"/>
        </w:rPr>
        <w:t xml:space="preserve">SINGLE STAIRWAY IN CERTAIN APARTMENT BUILDINGS.  (a) A municipality may allow apartment buildings to be served by a single stairway regardless of the municipality's adoption of the International Building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that chooses to allow apartment buildings to be served by a single stairway must do so under the following conditions: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more than 6 stories above grade plane and does not qualify as a high-rise, as defined in the International Building Code, as adopted under Section 214.216,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 more than four dwelling units on any floor;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regardless of the stairway construction type, has automatic sprinkler locations in interior exit stairways that comply with the requirements of NFPA 13 for combustible stairways;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an exterior stairway or interior exit  stairway is provided and doors in the stairway swing into the interior exit stairway regardless of the occupant load served, provided that doors from the interior exit stairway to the building exterior are permitted to swing in the direction of exit travel;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openings to the interior exit stairway  enclosure are limited to those required for exit access into  the enclosure from normally occupied spaces, those required for egress from the enclosure, and openings to the exterior. Elevators shall not open into the interior exit stairway  enclosure;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has interior exit stairway enclosures have a  fire-resistance rating of not less than 2 hours;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has a minimum 1 hour fire-resistance rated corridor separates each dwelling unit entry/exit door from the door to an interior exit stairway, including any related exit passageway, on each floor;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has dwelling unit doors that do not open directly into an interior exit stairway;</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has no more than 20 feet (6096 mm) of travel  distance exist between the exit stairway from the entry/exit  door of any dwelling unit;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has exit access travel that does not exceed 125  feet (38100 mm);</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has an exit serving the Group R occupancy that does not discharge through any other occupancy, including an accessory parking garage;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has an exit that does not terminate in an egress court where the court depth exceeds the court width unless it is possible to exit in either direction to the public way;</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has no openings within 10 feet (3048 mm) of  unprotected openings into the stairway other than required exit  doors having a 1-hour fire-resistance rating;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has emergency escape and rescue openings compliant with International Building Code Section 1031 on all floors served by the single exit;</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has no electrical receptacles in an interior  exit stairway;</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has met all other applicable provisions of the adopted local building codes, and;</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has an automatic smoke and fire detection system that activates the occupant notification system in  accordance with IBC Section 907.5 installed in the building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common spaces outside of dwelling units;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laundry rooms, mechanical equipment rooms, and storage rooms;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 interior corridors serving dwelling units;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all main floor landings or interior and exterior exit stairways.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211.054.</w:t>
      </w:r>
      <w:r>
        <w:rPr>
          <w:u w:val="single"/>
        </w:rPr>
        <w:t xml:space="preserve"> </w:t>
      </w:r>
      <w:r>
        <w:rPr>
          <w:u w:val="single"/>
        </w:rPr>
        <w:t xml:space="preserve"> </w:t>
      </w:r>
      <w:r>
        <w:rPr>
          <w:u w:val="single"/>
        </w:rPr>
        <w:t xml:space="preserve">SMOKE AND FIRE DETECTION SYSTEM REQUIRED in SINGLE STAIRWAY BUILDINGS. </w:t>
      </w:r>
      <w:r>
        <w:rPr>
          <w:u w:val="single"/>
        </w:rPr>
        <w:t xml:space="preserve"> </w:t>
      </w:r>
      <w:r>
        <w:rPr>
          <w:u w:val="single"/>
        </w:rPr>
        <w:t xml:space="preserve">An automatic smoke and fire  detection system that activates the occupant notification system in accordance with IBC Section 907.5 shall be installed in single  stairway apartment buildings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common spaces outside of dwelling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laundry rooms, mechanical equipment rooms and storage rooms;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interior corridors serving dwelling units,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 main floor landings of interior and exterior exit stairways.</w:t>
      </w:r>
    </w:p>
    <w:p w:rsidR="003F3435" w:rsidRDefault="0032493E">
      <w:pPr>
        <w:spacing w:line="480" w:lineRule="auto"/>
        <w:ind w:firstLine="720"/>
        <w:jc w:val="both"/>
      </w:pPr>
      <w:r>
        <w:t xml:space="preserve">Section 2.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