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2835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April</w:t>
      </w:r>
      <w:r xml:space="preserve">
        <w:t> </w:t>
      </w:r>
      <w:r>
        <w:t xml:space="preserve">7,</w:t>
      </w:r>
      <w:r xml:space="preserve">
        <w:t> </w:t>
      </w:r>
      <w:r>
        <w:t xml:space="preserve">2025, read first time and referred to Committee on Local Government; May</w:t>
      </w:r>
      <w:r xml:space="preserve">
        <w:t> </w:t>
      </w:r>
      <w:r>
        <w:t xml:space="preserve">1,</w:t>
      </w:r>
      <w:r xml:space="preserve">
        <w:t> </w:t>
      </w:r>
      <w:r>
        <w:t xml:space="preserve">2025, reported adversely, with favorable Committee Substitute by the following vote:</w:t>
      </w:r>
      <w:r>
        <w:t xml:space="preserve"> </w:t>
      </w:r>
      <w:r>
        <w:t xml:space="preserve"> </w:t>
      </w:r>
      <w:r>
        <w:t xml:space="preserve">Yeas 6, Nays 0; May</w:t>
      </w:r>
      <w:r xml:space="preserve">
        <w:t> </w:t>
      </w:r>
      <w:r>
        <w:t xml:space="preserve">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right="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2835</w:t>
      </w:r>
      <w:r xml:space="preserve">
        <w:tab wTab="150" tlc="none" cTlc="0"/>
      </w:r>
      <w:r>
        <w:t xml:space="preserve">By:</w:t>
      </w:r>
      <w:r xml:space="preserve">
        <w:t> </w:t>
      </w:r>
      <w:r xml:space="preserve">
        <w:t> </w:t>
      </w:r>
      <w:r>
        <w:t xml:space="preserve">Cook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municipal regulation of stairway requirements in certain apartment buildings.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214, Local Government Code, is amended by adding Subchapter I to read as follows:</w:t>
      </w:r>
    </w:p>
    <w:p w:rsidR="003F3435" w:rsidRDefault="0032493E">
      <w:pPr>
        <w:spacing w:line="480" w:lineRule="auto"/>
        <w:jc w:val="center"/>
      </w:pPr>
      <w:r>
        <w:rPr>
          <w:u w:val="single"/>
        </w:rPr>
        <w:t xml:space="preserve">SUBCHAPTER I. </w:t>
      </w:r>
      <w:r>
        <w:rPr>
          <w:u w:val="single"/>
        </w:rPr>
        <w:t xml:space="preserve"> </w:t>
      </w:r>
      <w:r>
        <w:rPr>
          <w:u w:val="single"/>
        </w:rPr>
        <w:t xml:space="preserve">SINGLE STAIRWAY IN CERTAIN APARTMENT BUILDINGS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214.301.</w:t>
      </w:r>
      <w:r>
        <w:rPr>
          <w:u w:val="single"/>
        </w:rPr>
        <w:t xml:space="preserve"> </w:t>
      </w:r>
      <w:r>
        <w:rPr>
          <w:u w:val="single"/>
        </w:rPr>
        <w:t xml:space="preserve"> </w:t>
      </w:r>
      <w:r>
        <w:rPr>
          <w:u w:val="single"/>
        </w:rPr>
        <w:t xml:space="preserve">PERMITTED REGULATION OF APARTMENT BUILDING STAIRWAY REQUIREMENTS.  (a) A municipality may exercise the authority under this section regardless of whether the municipality has adopted local amendments to the International Building Code under Section 214.216(c).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authorize an apartment building to have a single stairway only if the building: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more than six stories above grade plane and is not a high-rise as defined by the International Building Code, as adopted under Section 214.216;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more than four dwelling units on any floor;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automatic sprinkler locations in each interior exit stairway, regardless of the type of stairway construction, that comply with the requirements prescribed by National Fire Protection Association Standard 13 for combustible stairways;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exterior stairway;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interior exit stairway for which the doors: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into the stairway from the interior of the building swing into the stairway regardless of the occupant load served;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from the interior exit stairway to the building exterior swing in the direction of exit travel;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interior exit stairway enclosures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fire resistance rating of not less than two hours;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 not contain an elevator opening;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on each floor a corridor from each dwelling unit entry or exit door to an interior exit stairway, including any related exit passageway, that has a fire resistance rating of at least one hour;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does not have more than 20 feet between the entry or exit door of a dwelling unit and an exit stairway;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does not have more than 125 feet of exit access travel distance;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has an exit serving the portion of the building that contains two or more dwelling units that does not discharge through a portion of the building with a different occupancy category, including an accessory parking garage;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an exit that terminates in an egress court for which the court depth does not exceed the court width, unless it is possible to exit the egress court to the public way in either direction;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does not have an opening within 10 feet of an unprotected opening into an exit stairway other than a required exit door that has a fire resistance rating of at least one hour;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has emergency escape and rescue openings that comply with Section 1031 of the International Building Code as adopted under Section 214.216 on each floor served by a single exit;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does not have an electrical receptacle in an interior exit stairway;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has an automatic smoke and fire detection system that activates an occupant notification system that complies with Section 907.5 of the International Building Code as adopted under Section 214.216 installed in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common space outside of a dwelling unit;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laundry room, mechanical equipment room, and storage room;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interior corridor serving a dwelling unit;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 floor landing or interior or exterior exit stairway.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