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S.B.</w:t>
      </w:r>
      <w:r xml:space="preserve">
        <w:t> </w:t>
      </w:r>
      <w:r>
        <w:t xml:space="preserve">No.</w:t>
      </w:r>
      <w:r xml:space="preserve">
        <w:t> </w:t>
      </w:r>
      <w:r>
        <w:t xml:space="preserve">2885</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Water, Agriculture and Rural Affairs; April</w:t>
      </w:r>
      <w:r xml:space="preserve">
        <w:t> </w:t>
      </w:r>
      <w:r>
        <w:t xml:space="preserve">28,</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2885</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use of reclaimed water that has been treated to meet certain standards as part of an aquifer storage and recovery project.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27.153, Water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the commission by rule or by individual or general permit may authorize the injection of reclaimed water that is treated in accordance with standards adopted by the commission for that purpose.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2885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