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advisory entities and work groups under the jurisdiction of the comptroller of public accounts or on which the comptroller's office is represented and to the repeal or redesignation of certain of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403.0148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403.0148.</w:t>
      </w:r>
      <w:r>
        <w:rPr>
          <w:u w:val="single"/>
        </w:rPr>
        <w:t xml:space="preserve"> </w:t>
      </w:r>
      <w:r>
        <w:rPr>
          <w:u w:val="single"/>
        </w:rPr>
        <w:t xml:space="preserve"> </w:t>
      </w:r>
      <w:r>
        <w:rPr>
          <w:u w:val="single"/>
        </w:rPr>
        <w:t xml:space="preserve">REVIEW OF CERTAIN ADVISORY ENTITIES; REPORT. </w:t>
      </w:r>
      <w:r>
        <w:rPr>
          <w:u w:val="single"/>
        </w:rPr>
        <w:t xml:space="preserve"> </w:t>
      </w:r>
      <w:r>
        <w:rPr>
          <w:u w:val="single"/>
        </w:rPr>
        <w:t xml:space="preserve">(a) </w:t>
      </w:r>
      <w:r>
        <w:rPr>
          <w:u w:val="single"/>
        </w:rPr>
        <w:t xml:space="preserve"> </w:t>
      </w:r>
      <w:r>
        <w:rPr>
          <w:u w:val="single"/>
        </w:rPr>
        <w:t xml:space="preserve">In this section, "advisory entity" means an entity created by statute or by a state agency that has as its primary function advising a state agency, including an advisory board, an advisory committee, a council, an oversight committee, and a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each advisory entity that is part of the office of the comptroller, under the direction of the comptroller, or administratively attached to the office of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conducted under Subsection (b) must assess whether each advisory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efficient and effective operation of the office of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2026, the comptroller shall prepare and submit a report to the presiding officer of each house of the legislature that identifies the advisory entities reviewed under Subsection (b) that are not necessary or that do not promote the efficient or effective operation of the office of the comptroller.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403.1041, Government Code, is amended by amending Subsection (a)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this section and </w:t>
      </w:r>
      <w:r>
        <w:rPr>
          <w:u w:val="single"/>
        </w:rPr>
        <w:t xml:space="preserve">Section</w:t>
      </w:r>
      <w:r>
        <w:t xml:space="preserve"> </w:t>
      </w:r>
      <w:r>
        <w:t xml:space="preserve">[</w:t>
      </w:r>
      <w:r>
        <w:rPr>
          <w:strike/>
        </w:rPr>
        <w:t xml:space="preserve">Sections 403.1042 and</w:t>
      </w:r>
      <w:r>
        <w:t xml:space="preserve">] 403.1043:</w:t>
      </w:r>
    </w:p>
    <w:p w:rsidR="003F3435" w:rsidRDefault="0032493E">
      <w:pPr>
        <w:spacing w:line="480" w:lineRule="auto"/>
        <w:ind w:firstLine="1440"/>
        <w:jc w:val="both"/>
      </w:pPr>
      <w:r>
        <w:t xml:space="preserve">(1)</w:t>
      </w:r>
      <w:r xml:space="preserve">
        <w:t> </w:t>
      </w:r>
      <w:r xml:space="preserve">
        <w:t> </w:t>
      </w:r>
      <w:r>
        <w:t xml:space="preserve">"Account"</w:t>
      </w:r>
      <w:r>
        <w:t xml:space="preserve"> </w:t>
      </w:r>
      <w:r>
        <w:t xml:space="preserve">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w:t>
      </w:r>
      <w:r>
        <w:rPr>
          <w:u w:val="single"/>
        </w:rPr>
        <w:t xml:space="preserve">administration</w:t>
      </w:r>
      <w:r>
        <w:t xml:space="preserve"> [</w:t>
      </w:r>
      <w:r>
        <w:rPr>
          <w:strike/>
        </w:rPr>
        <w:t xml:space="preserve">investment</w:t>
      </w:r>
      <w:r>
        <w:t xml:space="preserve">] advisory committee </w:t>
      </w:r>
      <w:r>
        <w:rPr>
          <w:u w:val="single"/>
        </w:rPr>
        <w:t xml:space="preserve">established under Section 12.137,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 </w:t>
      </w:r>
      <w:r>
        <w:t xml:space="preserve"> </w:t>
      </w:r>
      <w:r>
        <w:t xml:space="preserve">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annually present to the advisory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account's investment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dollar amount the comptroller expects to distribute to  political subdivisions under Subsection (f);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changes to the applicable investment policy statement or rules adopted or amended by the comptroller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advisory committee shall provide advice and consultation to the comptroller related to the administration of the account's investments and the amount of money to distribute to political subdivisions, subject to the requirements and limitations in the applicable investment policy statement, laws, and rules.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403.610(b),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w:t>
      </w:r>
      <w:r>
        <w:rPr>
          <w:strike/>
        </w:rPr>
        <w:t xml:space="preserve">the oversight committee,</w:t>
      </w:r>
      <w:r>
        <w:t xml:space="preserve">] and the applicant not later than the seventh day after the date the governor makes the determination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403.615(c),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  The state auditor shall submit the recommendations to the governor, comptroller, lieutenant governor, </w:t>
      </w:r>
      <w:r>
        <w:rPr>
          <w:u w:val="single"/>
        </w:rPr>
        <w:t xml:space="preserve">and</w:t>
      </w:r>
      <w:r>
        <w:t xml:space="preserve"> speaker of the house of representatives[</w:t>
      </w:r>
      <w:r>
        <w:rPr>
          <w:strike/>
        </w:rPr>
        <w:t xml:space="preserve">, and oversight committee</w:t>
      </w:r>
      <w:r>
        <w:t xml:space="preserve">] not later than December 15 of each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404.028, Government Code, is amended to read as follows:</w:t>
      </w:r>
    </w:p>
    <w:p w:rsidR="003F3435" w:rsidRDefault="0032493E">
      <w:pPr>
        <w:spacing w:line="480" w:lineRule="auto"/>
        <w:ind w:firstLine="720"/>
        <w:jc w:val="both"/>
      </w:pPr>
      <w:r>
        <w:t xml:space="preserve">Sec.</w:t>
      </w:r>
      <w:r xml:space="preserve">
        <w:t> </w:t>
      </w:r>
      <w:r>
        <w:t xml:space="preserve">404.028.</w:t>
      </w:r>
      <w:r xml:space="preserve">
        <w:t> </w:t>
      </w:r>
      <w:r xml:space="preserve">
        <w:t> </w:t>
      </w:r>
      <w:r>
        <w:t xml:space="preserve">INVESTMENT ADVISORY BOARD. </w:t>
      </w:r>
      <w:r>
        <w:t xml:space="preserve"> </w:t>
      </w:r>
      <w:r>
        <w:t xml:space="preserve">(a) </w:t>
      </w:r>
      <w:r>
        <w:t xml:space="preserve"> </w:t>
      </w:r>
      <w:r>
        <w:t xml:space="preserve">The comptroller shall establish an investment advisory board to advise the comptroller </w:t>
      </w:r>
      <w:r>
        <w:rPr>
          <w:u w:val="single"/>
        </w:rPr>
        <w:t xml:space="preserve">and the trust company</w:t>
      </w:r>
      <w:r>
        <w:t xml:space="preserve"> regarding investments that the comptroller makes </w:t>
      </w:r>
      <w:r>
        <w:rPr>
          <w:u w:val="single"/>
        </w:rPr>
        <w:t xml:space="preserve">through the trust company</w:t>
      </w:r>
      <w:r>
        <w:t xml:space="preserve"> under this subchapter or other law.  For purposes of this section, the deposit of state funds in a state depository is not considered an investment.</w:t>
      </w:r>
    </w:p>
    <w:p w:rsidR="003F3435" w:rsidRDefault="0032493E">
      <w:pPr>
        <w:spacing w:line="480" w:lineRule="auto"/>
        <w:ind w:firstLine="720"/>
        <w:jc w:val="both"/>
      </w:pPr>
      <w:r>
        <w:t xml:space="preserve">(b)</w:t>
      </w:r>
      <w:r xml:space="preserve">
        <w:t> </w:t>
      </w:r>
      <w:r xml:space="preserve">
        <w:t> </w:t>
      </w:r>
      <w:r>
        <w:t xml:space="preserve">The comptroller shall appoint members to the advisory board who possess the expertise appropriate for advising the comptroller with regard to one or more types of investments that the comptroller may make.  </w:t>
      </w:r>
      <w:r>
        <w:rPr>
          <w:u w:val="single"/>
        </w:rPr>
        <w:t xml:space="preserve">The members of the advisory board must have knowledge or experience in finance, including  management of funds or business operations.  Members of the advisory board serve in an advisory capacity and are not fiduciaries with respect to the investments made by the comptroller through the trust company under this subchapter or other law.</w:t>
      </w:r>
    </w:p>
    <w:p w:rsidR="003F3435" w:rsidRDefault="0032493E">
      <w:pPr>
        <w:spacing w:line="480" w:lineRule="auto"/>
        <w:ind w:firstLine="720"/>
        <w:jc w:val="both"/>
      </w:pPr>
      <w:r>
        <w:t xml:space="preserve">(c)</w:t>
      </w:r>
      <w:r xml:space="preserve">
        <w:t> </w:t>
      </w:r>
      <w:r xml:space="preserve">
        <w:t> </w:t>
      </w:r>
      <w:r>
        <w:t xml:space="preserve">The comptroller shall determine the number of members of the advisory board.  </w:t>
      </w:r>
      <w:r>
        <w:rPr>
          <w:u w:val="single"/>
        </w:rPr>
        <w:t xml:space="preserve">The comptroller may adopt rules governing members of the advisory board, including rules related to terms of service and removal.</w:t>
      </w:r>
      <w:r>
        <w:t xml:space="preserve"> [</w:t>
      </w:r>
      <w:r>
        <w:rPr>
          <w:strike/>
        </w:rPr>
        <w:t xml:space="preserve">A member serves on the advisory board at the will of the comptroller.</w:t>
      </w:r>
      <w:r>
        <w:t xml:space="preserve">]</w:t>
      </w:r>
    </w:p>
    <w:p w:rsidR="003F3435" w:rsidRDefault="0032493E">
      <w:pPr>
        <w:spacing w:line="480" w:lineRule="auto"/>
        <w:ind w:firstLine="720"/>
        <w:jc w:val="both"/>
      </w:pPr>
      <w:r>
        <w:t xml:space="preserve">(d)</w:t>
      </w:r>
      <w:r xml:space="preserve">
        <w:t> </w:t>
      </w:r>
      <w:r xml:space="preserve">
        <w:t> </w:t>
      </w:r>
      <w:r>
        <w:t xml:space="preserve">Chapter 2110 does not apply to the [</w:t>
      </w:r>
      <w:r>
        <w:rPr>
          <w:strike/>
        </w:rPr>
        <w:t xml:space="preserve">size, composition, or duration of the</w:t>
      </w:r>
      <w:r>
        <w:t xml:space="preserve">] advisory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is not eligible for appointment to the advisory board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that receives funds from the trust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more than a 10 percent interest in a business entity or other organization that receives funds from the trust company;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receives funds from a business entity or other organization that receives funds from the trust company if the amount received by the person or spouse exceeds five percent of the person's gross income or the spouse's gross income, as applicable, for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 member of the advisory board may assume the member's duties, the member must complete a training program providing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assets managed by the comptroller through the trust company under this subchapter or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statutes, including Chapters 551 and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404.101(1),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"Advisory board" means the </w:t>
      </w:r>
      <w:r>
        <w:rPr>
          <w:u w:val="single"/>
        </w:rPr>
        <w:t xml:space="preserve">comptroller's</w:t>
      </w:r>
      <w:r>
        <w:t xml:space="preserve"> [</w:t>
      </w:r>
      <w:r>
        <w:rPr>
          <w:strike/>
        </w:rPr>
        <w:t xml:space="preserve">Texas treasury safekeeping trust company</w:t>
      </w:r>
      <w:r>
        <w:t xml:space="preserve">] investment advisory board </w:t>
      </w:r>
      <w:r>
        <w:rPr>
          <w:u w:val="single"/>
        </w:rPr>
        <w:t xml:space="preserve">established under Section 404.028</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12.137(a) and (h),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tobacco settlement permanent trust account administration advisory committee shall advise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department on the implementation of the department's duties under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on the administration of the comptroller's duties under Section 403.1041, Government Code</w:t>
      </w:r>
      <w:r>
        <w:t xml:space="preserve">.</w:t>
      </w:r>
    </w:p>
    <w:p w:rsidR="003F3435" w:rsidRDefault="0032493E">
      <w:pPr>
        <w:spacing w:line="480" w:lineRule="auto"/>
        <w:ind w:firstLine="720"/>
        <w:jc w:val="both"/>
      </w:pPr>
      <w:r>
        <w:t xml:space="preserve">(h)</w:t>
      </w:r>
      <w:r xml:space="preserve">
        <w:t> </w:t>
      </w:r>
      <w:r xml:space="preserve">
        <w:t> </w:t>
      </w:r>
      <w:r>
        <w:t xml:space="preserve">A member of the advisory committee may not receive compensation from the trust fund or the state for service on the advisory committee </w:t>
      </w:r>
      <w:r>
        <w:rPr>
          <w:u w:val="single"/>
        </w:rPr>
        <w:t xml:space="preserve">but may</w:t>
      </w:r>
      <w:r>
        <w:t xml:space="preserve"> [</w:t>
      </w:r>
      <w:r>
        <w:rPr>
          <w:strike/>
        </w:rPr>
        <w:t xml:space="preserve">and may not</w:t>
      </w:r>
      <w:r>
        <w:t xml:space="preserve">] be reimbursed [</w:t>
      </w:r>
      <w:r>
        <w:rPr>
          <w:strike/>
        </w:rPr>
        <w:t xml:space="preserve">from the trust fund or the state</w:t>
      </w:r>
      <w:r>
        <w:t xml:space="preserve">] for </w:t>
      </w:r>
      <w:r>
        <w:rPr>
          <w:u w:val="single"/>
        </w:rPr>
        <w:t xml:space="preserve">actual and necessary expenses of attending meetings of the advisory committee or performing other official duties authorized by the comptroller</w:t>
      </w:r>
      <w:r>
        <w:t xml:space="preserve"> [</w:t>
      </w:r>
      <w:r>
        <w:rPr>
          <w:strike/>
        </w:rPr>
        <w:t xml:space="preserve">travel expenses incurred while conducting the business of the advisory committee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395, Finance Code;</w:t>
      </w:r>
    </w:p>
    <w:p w:rsidR="003F3435" w:rsidRDefault="0032493E">
      <w:pPr>
        <w:spacing w:line="480" w:lineRule="auto"/>
        <w:ind w:firstLine="1440"/>
        <w:jc w:val="both"/>
      </w:pPr>
      <w:r>
        <w:t xml:space="preserve">(2)</w:t>
      </w:r>
      <w:r xml:space="preserve">
        <w:t> </w:t>
      </w:r>
      <w:r xml:space="preserve">
        <w:t> </w:t>
      </w:r>
      <w:r>
        <w:t xml:space="preserve">Section 403.028(f), Government Code;</w:t>
      </w:r>
    </w:p>
    <w:p w:rsidR="003F3435" w:rsidRDefault="0032493E">
      <w:pPr>
        <w:spacing w:line="480" w:lineRule="auto"/>
        <w:ind w:firstLine="1440"/>
        <w:jc w:val="both"/>
      </w:pPr>
      <w:r>
        <w:t xml:space="preserve">(3)</w:t>
      </w:r>
      <w:r xml:space="preserve">
        <w:t> </w:t>
      </w:r>
      <w:r xml:space="preserve">
        <w:t> </w:t>
      </w:r>
      <w:r>
        <w:t xml:space="preserve">Section 403.1042, Government Code;</w:t>
      </w:r>
    </w:p>
    <w:p w:rsidR="003F3435" w:rsidRDefault="0032493E">
      <w:pPr>
        <w:spacing w:line="480" w:lineRule="auto"/>
        <w:ind w:firstLine="1440"/>
        <w:jc w:val="both"/>
      </w:pPr>
      <w:r>
        <w:t xml:space="preserve">(4)</w:t>
      </w:r>
      <w:r xml:space="preserve">
        <w:t> </w:t>
      </w:r>
      <w:r xml:space="preserve">
        <w:t> </w:t>
      </w:r>
      <w:r>
        <w:t xml:space="preserve">Section 403.602(14), Government Code, as added by Chapter 377 (H.B. 5), Acts of the 88th Legislature, Regular Session, 2023;</w:t>
      </w:r>
    </w:p>
    <w:p w:rsidR="003F3435" w:rsidRDefault="0032493E">
      <w:pPr>
        <w:spacing w:line="480" w:lineRule="auto"/>
        <w:ind w:firstLine="1440"/>
        <w:jc w:val="both"/>
      </w:pPr>
      <w:r>
        <w:t xml:space="preserve">(5)</w:t>
      </w:r>
      <w:r xml:space="preserve">
        <w:t> </w:t>
      </w:r>
      <w:r xml:space="preserve">
        <w:t> </w:t>
      </w:r>
      <w:r>
        <w:t xml:space="preserve">Section 403.618, Government Code;</w:t>
      </w:r>
    </w:p>
    <w:p w:rsidR="003F3435" w:rsidRDefault="0032493E">
      <w:pPr>
        <w:spacing w:line="480" w:lineRule="auto"/>
        <w:ind w:firstLine="1440"/>
        <w:jc w:val="both"/>
      </w:pPr>
      <w:r>
        <w:t xml:space="preserve">(6)</w:t>
      </w:r>
      <w:r xml:space="preserve">
        <w:t> </w:t>
      </w:r>
      <w:r xml:space="preserve">
        <w:t> </w:t>
      </w:r>
      <w:r>
        <w:t xml:space="preserve">Section 404.108, Government Code;</w:t>
      </w:r>
    </w:p>
    <w:p w:rsidR="003F3435" w:rsidRDefault="0032493E">
      <w:pPr>
        <w:spacing w:line="480" w:lineRule="auto"/>
        <w:ind w:firstLine="1440"/>
        <w:jc w:val="both"/>
      </w:pPr>
      <w:r>
        <w:t xml:space="preserve">(7)</w:t>
      </w:r>
      <w:r xml:space="preserve">
        <w:t> </w:t>
      </w:r>
      <w:r xml:space="preserve">
        <w:t> </w:t>
      </w:r>
      <w:r>
        <w:t xml:space="preserve">Section 404.109, Government Code;</w:t>
      </w:r>
    </w:p>
    <w:p w:rsidR="003F3435" w:rsidRDefault="0032493E">
      <w:pPr>
        <w:spacing w:line="480" w:lineRule="auto"/>
        <w:ind w:firstLine="1440"/>
        <w:jc w:val="both"/>
      </w:pPr>
      <w:r>
        <w:t xml:space="preserve">(8)</w:t>
      </w:r>
      <w:r xml:space="preserve">
        <w:t> </w:t>
      </w:r>
      <w:r xml:space="preserve">
        <w:t> </w:t>
      </w:r>
      <w:r>
        <w:t xml:space="preserve">Section 404.110, Government Code;</w:t>
      </w:r>
    </w:p>
    <w:p w:rsidR="003F3435" w:rsidRDefault="0032493E">
      <w:pPr>
        <w:spacing w:line="480" w:lineRule="auto"/>
        <w:ind w:firstLine="1440"/>
        <w:jc w:val="both"/>
      </w:pPr>
      <w:r>
        <w:t xml:space="preserve">(9)</w:t>
      </w:r>
      <w:r xml:space="preserve">
        <w:t> </w:t>
      </w:r>
      <w:r xml:space="preserve">
        <w:t> </w:t>
      </w:r>
      <w:r>
        <w:t xml:space="preserve">Section 404.111, Government Code;</w:t>
      </w:r>
    </w:p>
    <w:p w:rsidR="003F3435" w:rsidRDefault="0032493E">
      <w:pPr>
        <w:spacing w:line="480" w:lineRule="auto"/>
        <w:ind w:firstLine="1440"/>
        <w:jc w:val="both"/>
      </w:pPr>
      <w:r>
        <w:t xml:space="preserve">(10)</w:t>
      </w:r>
      <w:r xml:space="preserve">
        <w:t> </w:t>
      </w:r>
      <w:r xml:space="preserve">
        <w:t> </w:t>
      </w:r>
      <w:r>
        <w:t xml:space="preserve">Section 404.112, Government Code;</w:t>
      </w:r>
    </w:p>
    <w:p w:rsidR="003F3435" w:rsidRDefault="0032493E">
      <w:pPr>
        <w:spacing w:line="480" w:lineRule="auto"/>
        <w:ind w:firstLine="1440"/>
        <w:jc w:val="both"/>
      </w:pPr>
      <w:r>
        <w:t xml:space="preserve">(11)</w:t>
      </w:r>
      <w:r xml:space="preserve">
        <w:t> </w:t>
      </w:r>
      <w:r xml:space="preserve">
        <w:t> </w:t>
      </w:r>
      <w:r>
        <w:t xml:space="preserve">Section 404.113, Government Code; and</w:t>
      </w:r>
    </w:p>
    <w:p w:rsidR="003F3435" w:rsidRDefault="0032493E">
      <w:pPr>
        <w:spacing w:line="480" w:lineRule="auto"/>
        <w:ind w:firstLine="1440"/>
        <w:jc w:val="both"/>
      </w:pPr>
      <w:r>
        <w:t xml:space="preserve">(12)</w:t>
      </w:r>
      <w:r xml:space="preserve">
        <w:t> </w:t>
      </w:r>
      <w:r xml:space="preserve">
        <w:t> </w:t>
      </w:r>
      <w:r>
        <w:t xml:space="preserve">Section 490I.0110,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2900 passed the Senate on April</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w:t>
      </w:r>
      <w:r xml:space="preserve">
        <w:t> </w:t>
      </w:r>
      <w:r>
        <w:t xml:space="preserve">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2900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115, Nays</w:t>
      </w:r>
      <w:r xml:space="preserve">
        <w:t> </w:t>
      </w:r>
      <w:r>
        <w:t xml:space="preserve">22, one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106, Nays</w:t>
      </w:r>
      <w:r xml:space="preserve">
        <w:t> </w:t>
      </w:r>
      <w:r>
        <w:t xml:space="preserve">29,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